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696"/>
        <w:gridCol w:w="8335"/>
      </w:tblGrid>
      <w:tr w:rsidR="005A0009" w:rsidRPr="00232676" w14:paraId="737FE740" w14:textId="77777777" w:rsidTr="008D0261">
        <w:trPr>
          <w:trHeight w:val="554"/>
        </w:trPr>
        <w:tc>
          <w:tcPr>
            <w:tcW w:w="10031" w:type="dxa"/>
            <w:gridSpan w:val="2"/>
            <w:vAlign w:val="center"/>
          </w:tcPr>
          <w:p w14:paraId="25777994" w14:textId="77777777" w:rsidR="005A0009" w:rsidRPr="00232676" w:rsidRDefault="005A0009" w:rsidP="00C508C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2676">
              <w:rPr>
                <w:rFonts w:ascii="Arial" w:hAnsi="Arial" w:cs="Arial"/>
                <w:b/>
                <w:bCs/>
                <w:sz w:val="24"/>
                <w:szCs w:val="24"/>
              </w:rPr>
              <w:t>Ο ΠΕΡΙ ΡΥΘΜΙΣΕΩΣ ΟΔΩΝ ΚΑΙ ΟΙΚΟΔΟΜΩΝ ΝΟΜΟΣ</w:t>
            </w:r>
          </w:p>
        </w:tc>
      </w:tr>
      <w:tr w:rsidR="005A0009" w:rsidRPr="00593ECC" w14:paraId="4083E708" w14:textId="77777777" w:rsidTr="008D0261">
        <w:trPr>
          <w:trHeight w:val="548"/>
        </w:trPr>
        <w:tc>
          <w:tcPr>
            <w:tcW w:w="10031" w:type="dxa"/>
            <w:gridSpan w:val="2"/>
            <w:vAlign w:val="center"/>
          </w:tcPr>
          <w:p w14:paraId="0CD773D8" w14:textId="77777777" w:rsidR="005A0009" w:rsidRPr="00593ECC" w:rsidRDefault="005A0009" w:rsidP="00C508C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2676">
              <w:rPr>
                <w:rFonts w:ascii="Arial" w:hAnsi="Arial" w:cs="Arial"/>
                <w:b/>
                <w:bCs/>
                <w:sz w:val="24"/>
                <w:szCs w:val="24"/>
              </w:rPr>
              <w:t>Κανονισμοί δυνάμει του άρθρου 19</w:t>
            </w:r>
          </w:p>
        </w:tc>
      </w:tr>
      <w:tr w:rsidR="005A0009" w:rsidRPr="006C4325" w14:paraId="580BE254" w14:textId="77777777" w:rsidTr="008D0261">
        <w:trPr>
          <w:trHeight w:val="577"/>
        </w:trPr>
        <w:tc>
          <w:tcPr>
            <w:tcW w:w="1696" w:type="dxa"/>
          </w:tcPr>
          <w:p w14:paraId="1F42F546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14 του 1959</w:t>
            </w:r>
          </w:p>
          <w:p w14:paraId="66C8505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67 του 1963</w:t>
            </w:r>
          </w:p>
          <w:p w14:paraId="2DBE6E7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6 του 1964</w:t>
            </w:r>
          </w:p>
          <w:p w14:paraId="7D9FF3A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65 του 1964</w:t>
            </w:r>
          </w:p>
          <w:p w14:paraId="7C52A774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12 του 1969</w:t>
            </w:r>
          </w:p>
          <w:p w14:paraId="09EEF512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38 του 1969</w:t>
            </w:r>
          </w:p>
          <w:p w14:paraId="2F3C649E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13 του1974</w:t>
            </w:r>
          </w:p>
          <w:p w14:paraId="3AECDA44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28 του 1974</w:t>
            </w:r>
          </w:p>
          <w:p w14:paraId="2B7E2684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24 του 1978</w:t>
            </w:r>
          </w:p>
          <w:p w14:paraId="21985831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25 του 1979</w:t>
            </w:r>
          </w:p>
          <w:p w14:paraId="6C7C1927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80 του 1982</w:t>
            </w:r>
          </w:p>
          <w:p w14:paraId="6FDDE6B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15 του 1983</w:t>
            </w:r>
          </w:p>
          <w:p w14:paraId="2EE852D8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9 του 1986</w:t>
            </w:r>
          </w:p>
          <w:p w14:paraId="21BEFF0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115 του 1986</w:t>
            </w:r>
          </w:p>
          <w:p w14:paraId="3749E810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199 του 1986</w:t>
            </w:r>
          </w:p>
          <w:p w14:paraId="29587CB7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53 του 1987</w:t>
            </w:r>
          </w:p>
          <w:p w14:paraId="42B53639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87 του 1987</w:t>
            </w:r>
          </w:p>
          <w:p w14:paraId="3CEDF5F5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316 του 1987</w:t>
            </w:r>
          </w:p>
          <w:p w14:paraId="10019C4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108 του 1988</w:t>
            </w:r>
          </w:p>
          <w:p w14:paraId="28D46B2B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243 του 1988</w:t>
            </w:r>
          </w:p>
          <w:p w14:paraId="78200644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122 του 1990</w:t>
            </w:r>
          </w:p>
          <w:p w14:paraId="7F9D6100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97(Ι) του 1992</w:t>
            </w:r>
          </w:p>
          <w:p w14:paraId="539F3868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45(Ι) του 1994</w:t>
            </w:r>
          </w:p>
          <w:p w14:paraId="1E43CDEB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14(Ι) του 1996</w:t>
            </w:r>
          </w:p>
          <w:p w14:paraId="2A3F6592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52(Ι) του 1996</w:t>
            </w:r>
          </w:p>
          <w:p w14:paraId="5D286A87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37(Ι) του 1997</w:t>
            </w:r>
          </w:p>
          <w:p w14:paraId="728BAABC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72(Ι) του 1997</w:t>
            </w:r>
          </w:p>
          <w:p w14:paraId="7321EB80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71(Ι) του 1998</w:t>
            </w:r>
          </w:p>
          <w:p w14:paraId="77547B6B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35(Ι) του 1999</w:t>
            </w:r>
          </w:p>
          <w:p w14:paraId="7F0FA3B0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61(Ι) του 1999</w:t>
            </w:r>
          </w:p>
          <w:p w14:paraId="1607A5D4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81(Ι) του 1999</w:t>
            </w:r>
          </w:p>
          <w:p w14:paraId="3E71787A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57(Ι) του 2000</w:t>
            </w:r>
          </w:p>
          <w:p w14:paraId="2227BE95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66(Ι) του 2000</w:t>
            </w:r>
          </w:p>
          <w:p w14:paraId="69C720EF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73(Ι) του 2000</w:t>
            </w:r>
          </w:p>
          <w:p w14:paraId="1747639E" w14:textId="56D7AE10" w:rsidR="005A0009" w:rsidRPr="002259F1" w:rsidRDefault="005A0009" w:rsidP="001045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126(Ι) του</w:t>
            </w:r>
            <w:r w:rsidR="0010459C" w:rsidRPr="002259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  <w:p w14:paraId="28C5625E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 xml:space="preserve">157(Ι) του 2000      </w:t>
            </w:r>
          </w:p>
          <w:p w14:paraId="375B6BF1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26(Ι) του 2002</w:t>
            </w:r>
          </w:p>
          <w:p w14:paraId="4948D471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33(Ι) του 2002</w:t>
            </w:r>
          </w:p>
          <w:p w14:paraId="0A0ACF5E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202(Ι) του 2002</w:t>
            </w:r>
          </w:p>
          <w:p w14:paraId="5BC1F43B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101(Ι) του 2006</w:t>
            </w:r>
          </w:p>
          <w:p w14:paraId="3AC36648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21(I) του 2008</w:t>
            </w:r>
          </w:p>
          <w:p w14:paraId="7537B2BE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32(Ι) του 2008</w:t>
            </w:r>
          </w:p>
          <w:p w14:paraId="74D1140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47(Ι) του 2011</w:t>
            </w:r>
          </w:p>
          <w:p w14:paraId="13F9B400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77(Ι) του 2011</w:t>
            </w:r>
          </w:p>
          <w:p w14:paraId="6D7B0FAE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 xml:space="preserve">131(I) του 2011   </w:t>
            </w:r>
          </w:p>
          <w:p w14:paraId="25158272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152(I) του 2011</w:t>
            </w:r>
          </w:p>
          <w:p w14:paraId="453A092F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34(Ι) του 2012</w:t>
            </w:r>
          </w:p>
          <w:p w14:paraId="5E7F2BA3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149(Ι) του 2012</w:t>
            </w:r>
          </w:p>
          <w:p w14:paraId="4FB9E4B4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66(Ι) του 2013</w:t>
            </w:r>
          </w:p>
          <w:p w14:paraId="2987BB16" w14:textId="77777777" w:rsidR="005A0009" w:rsidRPr="002259F1" w:rsidRDefault="005A0009" w:rsidP="00C508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40(Ι) του 2015</w:t>
            </w:r>
          </w:p>
          <w:p w14:paraId="572111D5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 xml:space="preserve">19(Ι) του 2016 </w:t>
            </w:r>
          </w:p>
          <w:p w14:paraId="2AB6063A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111(Ι) του 2017 </w:t>
            </w:r>
          </w:p>
          <w:p w14:paraId="24199D7D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 xml:space="preserve">143(Ι) του 2017 </w:t>
            </w:r>
          </w:p>
          <w:p w14:paraId="05BB83A7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 xml:space="preserve">143(Ι) του 2018 </w:t>
            </w:r>
          </w:p>
          <w:p w14:paraId="05B65CD6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17(Ι) του 2019</w:t>
            </w:r>
          </w:p>
          <w:p w14:paraId="401435F0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53(Ι) του 2021</w:t>
            </w:r>
          </w:p>
          <w:p w14:paraId="62661ADE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132(Ι) του 2022</w:t>
            </w:r>
          </w:p>
          <w:p w14:paraId="022198F5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89(Ι) του 2024</w:t>
            </w:r>
          </w:p>
          <w:p w14:paraId="5DF5AE77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113(Ι) του 2024</w:t>
            </w:r>
          </w:p>
          <w:p w14:paraId="353305AB" w14:textId="77777777" w:rsidR="005A0009" w:rsidRPr="002259F1" w:rsidRDefault="005A0009" w:rsidP="00C508C2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145(Ι) του 2024</w:t>
            </w:r>
          </w:p>
          <w:p w14:paraId="2A46BD3B" w14:textId="77777777" w:rsidR="00741A60" w:rsidRDefault="005A0009" w:rsidP="00741A60">
            <w:pPr>
              <w:spacing w:before="6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3(</w:t>
            </w:r>
            <w:r w:rsidRPr="002259F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2259F1">
              <w:rPr>
                <w:rFonts w:ascii="Arial" w:eastAsia="Times New Roman" w:hAnsi="Arial" w:cs="Arial"/>
                <w:sz w:val="20"/>
                <w:szCs w:val="20"/>
              </w:rPr>
              <w:t>) του 2025</w:t>
            </w:r>
            <w:r w:rsidR="00741A6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D6406B" w14:textId="77777777" w:rsidR="00741A60" w:rsidRDefault="00741A60" w:rsidP="00741A60">
            <w:pPr>
              <w:spacing w:before="6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180(Ι) του 2025,</w:t>
            </w:r>
          </w:p>
          <w:p w14:paraId="14724DB9" w14:textId="77777777" w:rsidR="00741A60" w:rsidRDefault="00741A60" w:rsidP="00741A60">
            <w:pPr>
              <w:spacing w:before="6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181(Ι) του 2025,</w:t>
            </w:r>
          </w:p>
          <w:p w14:paraId="1DB35BF6" w14:textId="77777777" w:rsidR="00EE549A" w:rsidRDefault="00741A60" w:rsidP="00741A60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227(Ι) του 2025</w:t>
            </w:r>
          </w:p>
          <w:p w14:paraId="016D33F6" w14:textId="2AFEC8F9" w:rsidR="005A0009" w:rsidRPr="002259F1" w:rsidRDefault="00EE549A" w:rsidP="00741A60">
            <w:pPr>
              <w:spacing w:after="0" w:line="240" w:lineRule="auto"/>
              <w:ind w:left="-21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23(Ι) του 2026</w:t>
            </w:r>
            <w:r w:rsidR="005A0009" w:rsidRPr="002259F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56F18BE" w14:textId="77777777" w:rsidR="005A0009" w:rsidRPr="002259F1" w:rsidRDefault="005A0009" w:rsidP="00C508C2">
            <w:pPr>
              <w:spacing w:before="6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35" w:type="dxa"/>
          </w:tcPr>
          <w:p w14:paraId="22150998" w14:textId="77777777" w:rsidR="005A0009" w:rsidRPr="002259F1" w:rsidRDefault="005A0009" w:rsidP="00C508C2">
            <w:pPr>
              <w:spacing w:after="0" w:line="240" w:lineRule="auto"/>
              <w:ind w:left="6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9F1">
              <w:rPr>
                <w:rFonts w:ascii="Arial" w:hAnsi="Arial" w:cs="Arial"/>
                <w:sz w:val="20"/>
                <w:szCs w:val="20"/>
              </w:rPr>
              <w:lastRenderedPageBreak/>
              <w:t>Το Υπουργικό Συμβούλιο, ασκώντας τις εξουσίες που του χορηγούνται από το άρθρο 19 του περί Ρυθμίσεως Οδών και Οικοδομών Νόμου, εκδίδει τους ακόλουθους Κανονισμούς:</w:t>
            </w:r>
          </w:p>
          <w:p w14:paraId="1C1DBF9F" w14:textId="77777777" w:rsidR="005A0009" w:rsidRPr="002259F1" w:rsidRDefault="005A0009" w:rsidP="00C508C2">
            <w:pPr>
              <w:spacing w:after="0" w:line="240" w:lineRule="auto"/>
              <w:ind w:left="65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D0177" w14:textId="77777777" w:rsidR="005A0009" w:rsidRPr="002259F1" w:rsidRDefault="005A0009" w:rsidP="00C508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E0FBD" w14:textId="77777777" w:rsidR="005A0009" w:rsidRPr="002259F1" w:rsidRDefault="005A0009" w:rsidP="00C508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EB9DF" w14:textId="77777777" w:rsidR="005A0009" w:rsidRPr="002259F1" w:rsidRDefault="005A0009" w:rsidP="00C508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D95BA" w14:textId="77777777" w:rsidR="005A0009" w:rsidRPr="002259F1" w:rsidRDefault="005A0009" w:rsidP="00C508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5C1D5" w14:textId="77777777" w:rsidR="005A0009" w:rsidRPr="002259F1" w:rsidRDefault="005A0009" w:rsidP="00C508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9EA3B" w14:textId="77777777" w:rsidR="005A0009" w:rsidRPr="002259F1" w:rsidRDefault="005A0009" w:rsidP="00C508C2">
            <w:pPr>
              <w:tabs>
                <w:tab w:val="left" w:pos="5535"/>
              </w:tabs>
              <w:rPr>
                <w:rFonts w:ascii="Arial" w:hAnsi="Arial" w:cs="Arial"/>
                <w:sz w:val="20"/>
                <w:szCs w:val="20"/>
              </w:rPr>
            </w:pPr>
            <w:r w:rsidRPr="002259F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A0009" w:rsidRPr="00FA2EAC" w14:paraId="38E94D6D" w14:textId="77777777" w:rsidTr="008D0261">
        <w:trPr>
          <w:trHeight w:val="953"/>
        </w:trPr>
        <w:tc>
          <w:tcPr>
            <w:tcW w:w="1696" w:type="dxa"/>
          </w:tcPr>
          <w:p w14:paraId="42A39532" w14:textId="1C20D7E6" w:rsidR="00CA7CA9" w:rsidRPr="00C80654" w:rsidRDefault="005A0009" w:rsidP="00AD5053">
            <w:pPr>
              <w:spacing w:before="6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0654">
              <w:rPr>
                <w:rFonts w:ascii="Arial" w:eastAsia="Times New Roman" w:hAnsi="Arial" w:cs="Arial"/>
                <w:sz w:val="20"/>
                <w:szCs w:val="20"/>
              </w:rPr>
              <w:t>Συνοπτικός Τίτλος</w:t>
            </w:r>
            <w:r w:rsidR="0010459C" w:rsidRPr="00C8065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35" w:type="dxa"/>
          </w:tcPr>
          <w:p w14:paraId="189F78C8" w14:textId="48F3EC6A" w:rsidR="005A0009" w:rsidRPr="00FB53AB" w:rsidRDefault="005A0009" w:rsidP="00FB53AB">
            <w:pPr>
              <w:tabs>
                <w:tab w:val="left" w:pos="22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3A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D5053" w:rsidRPr="00FB53AB">
              <w:rPr>
                <w:rFonts w:ascii="Arial" w:hAnsi="Arial" w:cs="Arial"/>
                <w:sz w:val="20"/>
                <w:szCs w:val="20"/>
              </w:rPr>
              <w:t>Οι παρόντες Κανονισμοί θα αναφέρονται ως οι περί Οδών και Οικοδομών (</w:t>
            </w:r>
            <w:r w:rsidR="00C73DFA" w:rsidRPr="00FB53AB">
              <w:rPr>
                <w:rFonts w:ascii="Arial" w:hAnsi="Arial" w:cs="Arial"/>
                <w:sz w:val="20"/>
                <w:szCs w:val="20"/>
              </w:rPr>
              <w:t>Τροποποιητικοί</w:t>
            </w:r>
            <w:r w:rsidR="00AD5053" w:rsidRPr="00FB53AB">
              <w:rPr>
                <w:rFonts w:ascii="Arial" w:hAnsi="Arial" w:cs="Arial"/>
                <w:sz w:val="20"/>
                <w:szCs w:val="20"/>
              </w:rPr>
              <w:t>) Κανονισμοί του 202</w:t>
            </w:r>
            <w:r w:rsidR="00441A94">
              <w:rPr>
                <w:rFonts w:ascii="Arial" w:hAnsi="Arial" w:cs="Arial"/>
                <w:sz w:val="20"/>
                <w:szCs w:val="20"/>
              </w:rPr>
              <w:t>6</w:t>
            </w:r>
            <w:r w:rsidR="00C73DFA" w:rsidRPr="00FB53AB">
              <w:rPr>
                <w:rFonts w:ascii="Arial" w:hAnsi="Arial" w:cs="Arial"/>
                <w:sz w:val="20"/>
                <w:szCs w:val="20"/>
              </w:rPr>
              <w:t xml:space="preserve">, και θα διαβάζονται μαζί με τους περί Οδών και Οικοδομών Κανονισμούς του 1954 </w:t>
            </w:r>
            <w:r w:rsidR="00445913" w:rsidRPr="00FB53AB">
              <w:rPr>
                <w:rFonts w:ascii="Arial" w:hAnsi="Arial" w:cs="Arial"/>
                <w:sz w:val="20"/>
                <w:szCs w:val="20"/>
              </w:rPr>
              <w:t>έως</w:t>
            </w:r>
            <w:r w:rsidR="00C73DFA" w:rsidRPr="00FB53AB">
              <w:rPr>
                <w:rFonts w:ascii="Arial" w:hAnsi="Arial" w:cs="Arial"/>
                <w:sz w:val="20"/>
                <w:szCs w:val="20"/>
              </w:rPr>
              <w:t xml:space="preserve"> του </w:t>
            </w:r>
            <w:r w:rsidR="00C73DFA" w:rsidRPr="0039137D">
              <w:rPr>
                <w:rFonts w:ascii="Arial" w:hAnsi="Arial" w:cs="Arial"/>
                <w:sz w:val="20"/>
                <w:szCs w:val="20"/>
              </w:rPr>
              <w:t>20</w:t>
            </w:r>
            <w:r w:rsidR="0039137D" w:rsidRPr="0039137D">
              <w:rPr>
                <w:rFonts w:ascii="Arial" w:hAnsi="Arial" w:cs="Arial"/>
                <w:sz w:val="20"/>
                <w:szCs w:val="20"/>
              </w:rPr>
              <w:t>17</w:t>
            </w:r>
            <w:r w:rsidR="00C73DFA" w:rsidRPr="00FB53AB">
              <w:rPr>
                <w:rFonts w:ascii="Arial" w:hAnsi="Arial" w:cs="Arial"/>
                <w:sz w:val="20"/>
                <w:szCs w:val="20"/>
              </w:rPr>
              <w:t xml:space="preserve"> (που στο εξής θα αναφέρονται ως οι «βασικοί κανονισμοί») και οι βασικοί κανονισμοί και οι παρόντες Κανονισμοί θα αναφέρονται μαζί ως οι περί Οδών και Οικοδομών Κανονισμοί του </w:t>
            </w:r>
            <w:r w:rsidR="00FB53AB" w:rsidRPr="00FB53AB">
              <w:rPr>
                <w:rFonts w:ascii="Arial" w:hAnsi="Arial" w:cs="Arial"/>
                <w:sz w:val="20"/>
                <w:szCs w:val="20"/>
              </w:rPr>
              <w:t xml:space="preserve">1954 </w:t>
            </w:r>
            <w:r w:rsidR="00445913" w:rsidRPr="00FB53AB">
              <w:rPr>
                <w:rFonts w:ascii="Arial" w:hAnsi="Arial" w:cs="Arial"/>
                <w:sz w:val="20"/>
                <w:szCs w:val="20"/>
              </w:rPr>
              <w:t>έως</w:t>
            </w:r>
            <w:r w:rsidR="00FB53AB" w:rsidRPr="00FB53AB">
              <w:rPr>
                <w:rFonts w:ascii="Arial" w:hAnsi="Arial" w:cs="Arial"/>
                <w:sz w:val="20"/>
                <w:szCs w:val="20"/>
              </w:rPr>
              <w:t xml:space="preserve"> του 202</w:t>
            </w:r>
            <w:r w:rsidR="00441A94">
              <w:rPr>
                <w:rFonts w:ascii="Arial" w:hAnsi="Arial" w:cs="Arial"/>
                <w:sz w:val="20"/>
                <w:szCs w:val="20"/>
              </w:rPr>
              <w:t>6</w:t>
            </w:r>
            <w:r w:rsidR="00FB53AB" w:rsidRPr="00FB53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42B2" w:rsidRPr="006406F1" w14:paraId="25523E9B" w14:textId="77777777" w:rsidTr="008D0261">
        <w:trPr>
          <w:trHeight w:val="87"/>
        </w:trPr>
        <w:tc>
          <w:tcPr>
            <w:tcW w:w="1696" w:type="dxa"/>
          </w:tcPr>
          <w:p w14:paraId="764E3E27" w14:textId="45C1E6BA" w:rsidR="002942B2" w:rsidRPr="00C80654" w:rsidRDefault="002942B2" w:rsidP="00C508C2">
            <w:pPr>
              <w:spacing w:before="6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Τροποποίηση του Κανονισμού 62 των βασικών κανονισμών.</w:t>
            </w:r>
          </w:p>
        </w:tc>
        <w:tc>
          <w:tcPr>
            <w:tcW w:w="8335" w:type="dxa"/>
          </w:tcPr>
          <w:p w14:paraId="1309C6C1" w14:textId="3A806D35" w:rsidR="001678E1" w:rsidRDefault="00445913" w:rsidP="00167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 Καν</w:t>
            </w:r>
            <w:r w:rsidR="008F1D1F">
              <w:rPr>
                <w:rFonts w:ascii="Arial" w:hAnsi="Arial" w:cs="Arial"/>
                <w:sz w:val="20"/>
                <w:szCs w:val="20"/>
              </w:rPr>
              <w:t>ονι</w:t>
            </w:r>
            <w:r>
              <w:rPr>
                <w:rFonts w:ascii="Arial" w:hAnsi="Arial" w:cs="Arial"/>
                <w:sz w:val="20"/>
                <w:szCs w:val="20"/>
              </w:rPr>
              <w:t xml:space="preserve">σμός 62 των βασικών κανονισμών τροποποιείται με </w:t>
            </w:r>
            <w:r w:rsidR="008F1D1F">
              <w:rPr>
                <w:rFonts w:ascii="Arial" w:hAnsi="Arial" w:cs="Arial"/>
                <w:sz w:val="20"/>
                <w:szCs w:val="20"/>
              </w:rPr>
              <w:t>την προσθήκη της ακόλουθης νέας παραγράφου (5)</w:t>
            </w:r>
            <w:r w:rsidR="008F1D1F" w:rsidRPr="008F1D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B35861" w14:textId="780ECF8D" w:rsidR="00166342" w:rsidRPr="008D0261" w:rsidRDefault="001678E1" w:rsidP="008D0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142CDC">
              <w:rPr>
                <w:rFonts w:ascii="Arial" w:hAnsi="Arial" w:cs="Arial"/>
                <w:sz w:val="20"/>
                <w:szCs w:val="20"/>
              </w:rPr>
              <w:t xml:space="preserve">(5) </w:t>
            </w:r>
            <w:r>
              <w:rPr>
                <w:rFonts w:ascii="Arial" w:hAnsi="Arial" w:cs="Arial"/>
                <w:sz w:val="20"/>
                <w:szCs w:val="20"/>
              </w:rPr>
              <w:t>Για τις αναπτύξεις που καθορίζονται με διάταγμα του Υπουργού σύμφωνα με τις διατάξεις του άρθρου 3</w:t>
            </w:r>
            <w:r w:rsidRPr="001678E1">
              <w:rPr>
                <w:rFonts w:ascii="Arial" w:hAnsi="Arial" w:cs="Arial"/>
                <w:sz w:val="20"/>
                <w:szCs w:val="20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>(1)(α)(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1678E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του Νόμου, και για τις οποίες απαιτείται η διενέργεια οικοδομικού ελέγχου </w:t>
            </w:r>
            <w:r w:rsidR="00142CDC">
              <w:rPr>
                <w:rFonts w:ascii="Arial" w:hAnsi="Arial" w:cs="Arial"/>
                <w:sz w:val="20"/>
                <w:szCs w:val="20"/>
              </w:rPr>
              <w:t>από Ελεγκτή Δόμησης</w:t>
            </w:r>
            <w:r>
              <w:rPr>
                <w:rFonts w:ascii="Arial" w:hAnsi="Arial" w:cs="Arial"/>
                <w:sz w:val="20"/>
                <w:szCs w:val="20"/>
              </w:rPr>
              <w:t>, επιπρόσθετα των δικαιωμάτων που καταβάλλονται με βάση την παράγραφο (1) του παρόντος Κανονισμού,</w:t>
            </w:r>
            <w:r w:rsidR="00441A94">
              <w:rPr>
                <w:rFonts w:ascii="Arial" w:hAnsi="Arial" w:cs="Arial"/>
                <w:sz w:val="20"/>
                <w:szCs w:val="20"/>
              </w:rPr>
              <w:t xml:space="preserve"> κατά την υποβολή αίτησης για έκδοση άδειας</w:t>
            </w:r>
            <w:r>
              <w:rPr>
                <w:rFonts w:ascii="Arial" w:hAnsi="Arial" w:cs="Arial"/>
                <w:sz w:val="20"/>
                <w:szCs w:val="20"/>
              </w:rPr>
              <w:t xml:space="preserve"> με βάση τις διατάξεις του Νόμου θα πρέπει να καταβάλλονται στην αρμόδια Αρχή δικαιώματα </w:t>
            </w:r>
            <w:r w:rsidR="00526EBF">
              <w:rPr>
                <w:rFonts w:ascii="Arial" w:hAnsi="Arial" w:cs="Arial"/>
                <w:sz w:val="20"/>
                <w:szCs w:val="20"/>
              </w:rPr>
              <w:t>για τη διενέργεια οικοδομικού ελέγχου από</w:t>
            </w:r>
            <w:r>
              <w:rPr>
                <w:rFonts w:ascii="Arial" w:hAnsi="Arial" w:cs="Arial"/>
                <w:sz w:val="20"/>
                <w:szCs w:val="20"/>
              </w:rPr>
              <w:t xml:space="preserve"> Ελεγκτή Δόμησης, ως</w:t>
            </w:r>
            <w:r w:rsidR="00142CDC">
              <w:rPr>
                <w:rFonts w:ascii="Arial" w:hAnsi="Arial" w:cs="Arial"/>
                <w:sz w:val="20"/>
                <w:szCs w:val="20"/>
              </w:rPr>
              <w:t xml:space="preserve"> αυτά</w:t>
            </w:r>
            <w:r>
              <w:rPr>
                <w:rFonts w:ascii="Arial" w:hAnsi="Arial" w:cs="Arial"/>
                <w:sz w:val="20"/>
                <w:szCs w:val="20"/>
              </w:rPr>
              <w:t xml:space="preserve"> καθορίζονται στο Παράρτημα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.»</w:t>
            </w:r>
          </w:p>
        </w:tc>
      </w:tr>
    </w:tbl>
    <w:p w14:paraId="1BEECA99" w14:textId="77777777" w:rsidR="00C77CC3" w:rsidRDefault="00C77CC3"/>
    <w:bookmarkStart w:id="0" w:name="_Hlk118111189"/>
    <w:bookmarkEnd w:id="0"/>
    <w:p w14:paraId="785B2F40" w14:textId="2FB08FC2" w:rsidR="008D0261" w:rsidRDefault="008D0261" w:rsidP="00166342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7DB7F" wp14:editId="6E9769C0">
                <wp:simplePos x="0" y="0"/>
                <wp:positionH relativeFrom="column">
                  <wp:posOffset>2543175</wp:posOffset>
                </wp:positionH>
                <wp:positionV relativeFrom="paragraph">
                  <wp:posOffset>109855</wp:posOffset>
                </wp:positionV>
                <wp:extent cx="781050" cy="0"/>
                <wp:effectExtent l="0" t="0" r="0" b="0"/>
                <wp:wrapNone/>
                <wp:docPr id="19260866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EEFF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8.65pt" to="261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0B2CDB" w14:textId="77777777" w:rsidR="008D0261" w:rsidRDefault="008D0261" w:rsidP="00166342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</w:rPr>
      </w:pPr>
    </w:p>
    <w:p w14:paraId="70D167EC" w14:textId="04BA40F8" w:rsidR="00967E6F" w:rsidRPr="00142CDC" w:rsidRDefault="00166342" w:rsidP="00166342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B7266C">
        <w:rPr>
          <w:rFonts w:ascii="Arial" w:hAnsi="Arial" w:cs="Arial"/>
          <w:b/>
          <w:bCs/>
          <w:color w:val="000000" w:themeColor="text1"/>
        </w:rPr>
        <w:t xml:space="preserve">ΠΑΡΑΡΤΗΜΑ </w:t>
      </w:r>
      <w:r w:rsidRPr="00B7266C">
        <w:rPr>
          <w:rFonts w:ascii="Arial" w:hAnsi="Arial" w:cs="Arial"/>
          <w:b/>
          <w:bCs/>
          <w:color w:val="000000" w:themeColor="text1"/>
          <w:lang w:val="en-US"/>
        </w:rPr>
        <w:t>V</w:t>
      </w:r>
    </w:p>
    <w:p w14:paraId="2AD80265" w14:textId="6DCD691F" w:rsidR="00166342" w:rsidRPr="00B7266C" w:rsidRDefault="00166342" w:rsidP="00166342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142CDC">
        <w:rPr>
          <w:rFonts w:ascii="Arial" w:hAnsi="Arial" w:cs="Arial"/>
          <w:b/>
          <w:bCs/>
          <w:color w:val="000000" w:themeColor="text1"/>
        </w:rPr>
        <w:t>(</w:t>
      </w:r>
      <w:r w:rsidRPr="00B7266C">
        <w:rPr>
          <w:rFonts w:ascii="Arial" w:hAnsi="Arial" w:cs="Arial"/>
          <w:b/>
          <w:bCs/>
          <w:color w:val="000000" w:themeColor="text1"/>
        </w:rPr>
        <w:t xml:space="preserve">Κανονισμός </w:t>
      </w:r>
      <w:r w:rsidR="00B7266C" w:rsidRPr="00B7266C">
        <w:rPr>
          <w:rFonts w:ascii="Arial" w:hAnsi="Arial" w:cs="Arial"/>
          <w:b/>
          <w:bCs/>
          <w:color w:val="000000" w:themeColor="text1"/>
        </w:rPr>
        <w:t>62)</w:t>
      </w:r>
    </w:p>
    <w:p w14:paraId="402E874B" w14:textId="77777777" w:rsidR="00B7266C" w:rsidRPr="00B7266C" w:rsidRDefault="00B7266C" w:rsidP="00166342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</w:rPr>
      </w:pPr>
    </w:p>
    <w:p w14:paraId="7EC66824" w14:textId="3A7DC61E" w:rsidR="00B7266C" w:rsidRPr="00B7266C" w:rsidRDefault="00B7266C" w:rsidP="00166342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B7266C">
        <w:rPr>
          <w:rFonts w:ascii="Arial" w:hAnsi="Arial" w:cs="Arial"/>
          <w:b/>
          <w:bCs/>
          <w:color w:val="000000" w:themeColor="text1"/>
        </w:rPr>
        <w:t xml:space="preserve">ΔΙΚΑΙΩΜΑΤΑ – </w:t>
      </w:r>
      <w:r w:rsidR="00441A94">
        <w:rPr>
          <w:rFonts w:ascii="Arial" w:hAnsi="Arial" w:cs="Arial"/>
          <w:b/>
          <w:bCs/>
          <w:color w:val="000000" w:themeColor="text1"/>
        </w:rPr>
        <w:t>ΟΙΚΟΔΟΜΙΚΟΣ ΕΛΕΓΧΟΣ ΑΠΟ</w:t>
      </w:r>
      <w:r w:rsidR="00441A94" w:rsidRPr="00B7266C">
        <w:rPr>
          <w:rFonts w:ascii="Arial" w:hAnsi="Arial" w:cs="Arial"/>
          <w:b/>
          <w:bCs/>
          <w:color w:val="000000" w:themeColor="text1"/>
        </w:rPr>
        <w:t xml:space="preserve"> </w:t>
      </w:r>
      <w:r w:rsidRPr="00B7266C">
        <w:rPr>
          <w:rFonts w:ascii="Arial" w:hAnsi="Arial" w:cs="Arial"/>
          <w:b/>
          <w:bCs/>
          <w:color w:val="000000" w:themeColor="text1"/>
        </w:rPr>
        <w:t>ΕΛΕΓΚΤΗ ΔΟΜΗΣΗΣ</w:t>
      </w:r>
    </w:p>
    <w:p w14:paraId="274572E9" w14:textId="77777777" w:rsidR="00422417" w:rsidRDefault="00422417" w:rsidP="00422417">
      <w:pPr>
        <w:spacing w:after="0" w:line="320" w:lineRule="exact"/>
        <w:rPr>
          <w:rFonts w:ascii="Arial" w:hAnsi="Arial" w:cs="Arial"/>
          <w:color w:val="000000" w:themeColor="text1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567"/>
        <w:gridCol w:w="8510"/>
      </w:tblGrid>
      <w:tr w:rsidR="004B0627" w:rsidRPr="00F94290" w14:paraId="5E2F07E9" w14:textId="77777777" w:rsidTr="00E40F43">
        <w:trPr>
          <w:trHeight w:val="622"/>
        </w:trPr>
        <w:tc>
          <w:tcPr>
            <w:tcW w:w="9923" w:type="dxa"/>
            <w:gridSpan w:val="4"/>
          </w:tcPr>
          <w:p w14:paraId="17A6343F" w14:textId="34D7D1F7" w:rsidR="004B0627" w:rsidRPr="00422417" w:rsidRDefault="008678BC" w:rsidP="00422417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Τα δ</w:t>
            </w:r>
            <w:r w:rsidR="004B0627">
              <w:rPr>
                <w:rFonts w:ascii="Arial" w:hAnsi="Arial" w:cs="Arial"/>
                <w:sz w:val="20"/>
                <w:szCs w:val="20"/>
                <w:lang w:val="el-GR"/>
              </w:rPr>
              <w:t xml:space="preserve">ικαιώματα για τη </w:t>
            </w:r>
            <w:r w:rsidR="0038190A">
              <w:rPr>
                <w:rFonts w:ascii="Arial" w:hAnsi="Arial" w:cs="Arial"/>
                <w:sz w:val="20"/>
                <w:szCs w:val="20"/>
                <w:lang w:val="el-GR"/>
              </w:rPr>
              <w:t xml:space="preserve">διενέργεια οικοδομικού ελέγχου </w:t>
            </w:r>
            <w:r w:rsidR="004B0627">
              <w:rPr>
                <w:rFonts w:ascii="Arial" w:hAnsi="Arial" w:cs="Arial"/>
                <w:sz w:val="20"/>
                <w:szCs w:val="20"/>
                <w:lang w:val="el-GR"/>
              </w:rPr>
              <w:t xml:space="preserve">καταβάλλονται στην αρμόδια αρχή </w:t>
            </w:r>
            <w:r w:rsidR="00441A94">
              <w:rPr>
                <w:rFonts w:ascii="Arial" w:hAnsi="Arial" w:cs="Arial"/>
                <w:sz w:val="20"/>
                <w:szCs w:val="20"/>
                <w:lang w:val="el-GR"/>
              </w:rPr>
              <w:t xml:space="preserve">κατά την υποβολή αίτησης για έκδοση άδειας </w:t>
            </w:r>
            <w:r w:rsidR="004B0627">
              <w:rPr>
                <w:rFonts w:ascii="Arial" w:hAnsi="Arial" w:cs="Arial"/>
                <w:sz w:val="20"/>
                <w:szCs w:val="20"/>
                <w:lang w:val="el-GR"/>
              </w:rPr>
              <w:t xml:space="preserve">με βάση το Νόμο,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 αφορούν τις</w:t>
            </w:r>
            <w:r w:rsidR="004B0627">
              <w:rPr>
                <w:rFonts w:ascii="Arial" w:hAnsi="Arial" w:cs="Arial"/>
                <w:sz w:val="20"/>
                <w:szCs w:val="20"/>
                <w:lang w:val="el-GR"/>
              </w:rPr>
              <w:t xml:space="preserve"> περιπτώσεις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για τις οποίες</w:t>
            </w:r>
            <w:r w:rsidR="004B0627">
              <w:rPr>
                <w:rFonts w:ascii="Arial" w:hAnsi="Arial" w:cs="Arial"/>
                <w:sz w:val="20"/>
                <w:szCs w:val="20"/>
                <w:lang w:val="el-GR"/>
              </w:rPr>
              <w:t xml:space="preserve"> απαιτείται η διενέργεια οικοδομικού ελέγχου από Ελεγκτή Δόμησης</w:t>
            </w:r>
            <w:r w:rsidR="008D0261">
              <w:rPr>
                <w:rFonts w:ascii="Arial" w:hAnsi="Arial" w:cs="Arial"/>
                <w:sz w:val="20"/>
                <w:szCs w:val="20"/>
                <w:lang w:val="el-GR"/>
              </w:rPr>
              <w:t xml:space="preserve"> σύμφωνα με διάταγμα του Υπουργού Εσωτερικών που εκδίδεται με βάση το άρθρο </w:t>
            </w:r>
            <w:r w:rsidR="008D0261" w:rsidRPr="00142CDC">
              <w:rPr>
                <w:rFonts w:ascii="Arial" w:hAnsi="Arial" w:cs="Arial"/>
                <w:sz w:val="20"/>
                <w:szCs w:val="20"/>
                <w:lang w:val="el-GR"/>
              </w:rPr>
              <w:t>3Α(1)(α)(</w:t>
            </w:r>
            <w:r w:rsidR="008D0261">
              <w:rPr>
                <w:rFonts w:ascii="Arial" w:hAnsi="Arial" w:cs="Arial"/>
                <w:sz w:val="20"/>
                <w:szCs w:val="20"/>
              </w:rPr>
              <w:t>iii</w:t>
            </w:r>
            <w:r w:rsidR="008D0261" w:rsidRPr="001678E1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  <w:r w:rsidR="008D0261" w:rsidRP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Νόμου</w:t>
            </w:r>
            <w:r w:rsidR="008D0261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</w:tr>
      <w:tr w:rsidR="008678BC" w:rsidRPr="00F94290" w14:paraId="51BD2BDB" w14:textId="77777777" w:rsidTr="00E40F43">
        <w:trPr>
          <w:trHeight w:val="622"/>
        </w:trPr>
        <w:tc>
          <w:tcPr>
            <w:tcW w:w="9923" w:type="dxa"/>
            <w:gridSpan w:val="4"/>
          </w:tcPr>
          <w:p w14:paraId="5F260C92" w14:textId="390844B0" w:rsidR="008678BC" w:rsidRDefault="008678BC" w:rsidP="00422417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Ο υπολογισμός των δικαιωμάτων γίνεται με βάση τα </w:t>
            </w:r>
            <w:r w:rsid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απαιτούμενα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στάδια οικοδομικού ελέγχου </w:t>
            </w:r>
            <w:r w:rsidR="00671323">
              <w:rPr>
                <w:rFonts w:ascii="Arial" w:hAnsi="Arial" w:cs="Arial"/>
                <w:sz w:val="20"/>
                <w:szCs w:val="20"/>
                <w:lang w:val="el-GR"/>
              </w:rPr>
              <w:t xml:space="preserve">και τον απαιτούμενο αριθμό Ελεγκτών Δόμησης για </w:t>
            </w:r>
            <w:r w:rsidR="00EE549A">
              <w:rPr>
                <w:rFonts w:ascii="Arial" w:hAnsi="Arial" w:cs="Arial"/>
                <w:sz w:val="20"/>
                <w:szCs w:val="20"/>
                <w:lang w:val="el-GR"/>
              </w:rPr>
              <w:t>το κάθε απαιτούμενο στάδιο ελέγχου της</w:t>
            </w:r>
            <w:r w:rsid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 κάθε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κατηγορία</w:t>
            </w:r>
            <w:r w:rsidR="00EE549A">
              <w:rPr>
                <w:rFonts w:ascii="Arial" w:hAnsi="Arial" w:cs="Arial"/>
                <w:sz w:val="20"/>
                <w:szCs w:val="20"/>
                <w:lang w:val="el-GR"/>
              </w:rPr>
              <w:t>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ανάπτυξης</w:t>
            </w:r>
            <w:r w:rsidR="00EE549A">
              <w:rPr>
                <w:rFonts w:ascii="Arial" w:hAnsi="Arial" w:cs="Arial"/>
                <w:sz w:val="20"/>
                <w:szCs w:val="20"/>
                <w:lang w:val="el-GR"/>
              </w:rPr>
              <w:t xml:space="preserve"> στην οποία εμπίπτει η ανάπτυξη</w:t>
            </w:r>
            <w:r w:rsidR="00142CDC">
              <w:rPr>
                <w:rFonts w:ascii="Arial" w:hAnsi="Arial" w:cs="Arial"/>
                <w:sz w:val="20"/>
                <w:szCs w:val="20"/>
                <w:lang w:val="el-GR"/>
              </w:rPr>
              <w:t>, ως</w:t>
            </w:r>
            <w:r w:rsidR="008D0261">
              <w:rPr>
                <w:rFonts w:ascii="Arial" w:hAnsi="Arial" w:cs="Arial"/>
                <w:sz w:val="20"/>
                <w:szCs w:val="20"/>
                <w:lang w:val="el-GR"/>
              </w:rPr>
              <w:t xml:space="preserve"> αυτά</w:t>
            </w:r>
            <w:r w:rsid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 καθορίζονται σε διάταγμα του Υπουργού που εκδίδεται με βάση το άρθρο </w:t>
            </w:r>
            <w:r w:rsidR="00142CDC" w:rsidRPr="00142CDC">
              <w:rPr>
                <w:rFonts w:ascii="Arial" w:hAnsi="Arial" w:cs="Arial"/>
                <w:sz w:val="20"/>
                <w:szCs w:val="20"/>
                <w:lang w:val="el-GR"/>
              </w:rPr>
              <w:t>3Α(1)(α)(</w:t>
            </w:r>
            <w:r w:rsidR="00142CDC">
              <w:rPr>
                <w:rFonts w:ascii="Arial" w:hAnsi="Arial" w:cs="Arial"/>
                <w:sz w:val="20"/>
                <w:szCs w:val="20"/>
              </w:rPr>
              <w:t>iii</w:t>
            </w:r>
            <w:r w:rsidR="00142CDC" w:rsidRPr="001678E1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  <w:r w:rsidR="00142CDC" w:rsidRP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Νόμου</w:t>
            </w:r>
            <w:r w:rsidR="00142CD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</w:tr>
      <w:tr w:rsidR="00422417" w:rsidRPr="00F94290" w14:paraId="38D5F972" w14:textId="77777777" w:rsidTr="00E40F43">
        <w:trPr>
          <w:trHeight w:val="622"/>
        </w:trPr>
        <w:tc>
          <w:tcPr>
            <w:tcW w:w="9923" w:type="dxa"/>
            <w:gridSpan w:val="4"/>
          </w:tcPr>
          <w:p w14:paraId="1A72954A" w14:textId="5B091972" w:rsidR="00422417" w:rsidRPr="00422417" w:rsidRDefault="00422417" w:rsidP="00422417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22417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Το ύψος </w:t>
            </w:r>
            <w:r w:rsidR="00441A94">
              <w:rPr>
                <w:rFonts w:ascii="Arial" w:hAnsi="Arial" w:cs="Arial"/>
                <w:sz w:val="20"/>
                <w:szCs w:val="20"/>
                <w:lang w:val="el-GR"/>
              </w:rPr>
              <w:t xml:space="preserve">των δικαιωμάτων για </w:t>
            </w:r>
            <w:r w:rsidR="006430F3">
              <w:rPr>
                <w:rFonts w:ascii="Arial" w:hAnsi="Arial" w:cs="Arial"/>
                <w:sz w:val="20"/>
                <w:szCs w:val="20"/>
                <w:lang w:val="el-GR"/>
              </w:rPr>
              <w:t>τη διενέργεια οικοδομικού ελέγχου από</w:t>
            </w:r>
            <w:r w:rsidR="00671323">
              <w:rPr>
                <w:rFonts w:ascii="Arial" w:hAnsi="Arial" w:cs="Arial"/>
                <w:sz w:val="20"/>
                <w:szCs w:val="20"/>
                <w:lang w:val="el-GR"/>
              </w:rPr>
              <w:t xml:space="preserve"> κάθε</w:t>
            </w:r>
            <w:r w:rsidR="006430F3">
              <w:rPr>
                <w:rFonts w:ascii="Arial" w:hAnsi="Arial" w:cs="Arial"/>
                <w:sz w:val="20"/>
                <w:szCs w:val="20"/>
                <w:lang w:val="el-GR"/>
              </w:rPr>
              <w:t xml:space="preserve"> Ελεγκτή Δόμησης </w:t>
            </w:r>
            <w:r w:rsidRPr="00422417">
              <w:rPr>
                <w:rFonts w:ascii="Arial" w:hAnsi="Arial" w:cs="Arial"/>
                <w:sz w:val="20"/>
                <w:szCs w:val="20"/>
                <w:lang w:val="el-GR"/>
              </w:rPr>
              <w:t xml:space="preserve">καθορίζεται ανά στάδιο </w:t>
            </w:r>
            <w:r w:rsidR="004B0627">
              <w:rPr>
                <w:rFonts w:ascii="Arial" w:hAnsi="Arial" w:cs="Arial"/>
                <w:sz w:val="20"/>
                <w:szCs w:val="20"/>
                <w:lang w:val="el-GR"/>
              </w:rPr>
              <w:t xml:space="preserve">οικοδομικού </w:t>
            </w:r>
            <w:r w:rsidRPr="00422417">
              <w:rPr>
                <w:rFonts w:ascii="Arial" w:hAnsi="Arial" w:cs="Arial"/>
                <w:sz w:val="20"/>
                <w:szCs w:val="20"/>
                <w:lang w:val="el-GR"/>
              </w:rPr>
              <w:t>ελέγχου, ως εξής:</w:t>
            </w:r>
          </w:p>
        </w:tc>
      </w:tr>
      <w:tr w:rsidR="00422417" w:rsidRPr="00F94290" w14:paraId="4081B6B3" w14:textId="77777777" w:rsidTr="00E40F43">
        <w:trPr>
          <w:trHeight w:val="622"/>
        </w:trPr>
        <w:tc>
          <w:tcPr>
            <w:tcW w:w="421" w:type="dxa"/>
          </w:tcPr>
          <w:p w14:paraId="527E7F36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2" w:type="dxa"/>
            <w:gridSpan w:val="3"/>
          </w:tcPr>
          <w:p w14:paraId="59E3259D" w14:textId="6CCEAC5A" w:rsidR="00422417" w:rsidRPr="00F94290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(α) </w:t>
            </w:r>
            <w:r w:rsidRPr="00F94290">
              <w:rPr>
                <w:rFonts w:ascii="Arial" w:hAnsi="Arial" w:cs="Arial"/>
                <w:sz w:val="20"/>
                <w:szCs w:val="20"/>
                <w:u w:val="single"/>
              </w:rPr>
              <w:t xml:space="preserve">Αρχικός Έλεγχος: </w:t>
            </w:r>
          </w:p>
          <w:p w14:paraId="7A26E08F" w14:textId="33C529AA" w:rsidR="00422417" w:rsidRPr="00F94290" w:rsidRDefault="00422417" w:rsidP="00DA6A59">
            <w:pPr>
              <w:tabs>
                <w:tab w:val="left" w:pos="1620"/>
              </w:tabs>
              <w:ind w:left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Νέα Κτήρια/Προσθήκες</w:t>
            </w:r>
            <w:r w:rsidR="00416157" w:rsidRPr="00416157">
              <w:rPr>
                <w:rFonts w:ascii="Arial" w:hAnsi="Arial" w:cs="Arial"/>
                <w:sz w:val="20"/>
                <w:szCs w:val="20"/>
              </w:rPr>
              <w:t>/</w:t>
            </w:r>
            <w:r w:rsidR="00416157">
              <w:rPr>
                <w:rFonts w:ascii="Arial" w:hAnsi="Arial" w:cs="Arial"/>
                <w:sz w:val="20"/>
                <w:szCs w:val="20"/>
              </w:rPr>
              <w:t>Μετατροπές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σε υφιστάμενη ανάπτυξη</w:t>
            </w:r>
          </w:p>
        </w:tc>
      </w:tr>
      <w:tr w:rsidR="00422417" w:rsidRPr="00FE5E6D" w14:paraId="76A85421" w14:textId="77777777" w:rsidTr="00E40F43">
        <w:trPr>
          <w:trHeight w:val="457"/>
        </w:trPr>
        <w:tc>
          <w:tcPr>
            <w:tcW w:w="421" w:type="dxa"/>
          </w:tcPr>
          <w:p w14:paraId="4B4AC878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F97C76" w14:textId="77777777" w:rsidR="00422417" w:rsidRPr="00F94290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287EAE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70909B72" w14:textId="5BD72150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250τ.μ.: 200,00 ευρώ</w:t>
            </w:r>
          </w:p>
        </w:tc>
      </w:tr>
      <w:tr w:rsidR="00422417" w:rsidRPr="00FE5E6D" w14:paraId="3494CB6F" w14:textId="77777777" w:rsidTr="00E40F43">
        <w:trPr>
          <w:trHeight w:val="420"/>
        </w:trPr>
        <w:tc>
          <w:tcPr>
            <w:tcW w:w="421" w:type="dxa"/>
          </w:tcPr>
          <w:p w14:paraId="32B06F99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B612EE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00FFD7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3263AA9B" w14:textId="3156158E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από 251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500τ.μ.: 300,00 ευρώ</w:t>
            </w:r>
          </w:p>
        </w:tc>
      </w:tr>
      <w:tr w:rsidR="00422417" w:rsidRPr="00FE5E6D" w14:paraId="1B219E70" w14:textId="77777777" w:rsidTr="00E40F43">
        <w:trPr>
          <w:trHeight w:val="243"/>
        </w:trPr>
        <w:tc>
          <w:tcPr>
            <w:tcW w:w="421" w:type="dxa"/>
          </w:tcPr>
          <w:p w14:paraId="4B4D33F8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F9858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144D5A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23E82008" w14:textId="7D3E58BB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από 501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1.000τ.μ.: 400,00 ευρώ</w:t>
            </w:r>
          </w:p>
        </w:tc>
      </w:tr>
      <w:tr w:rsidR="00422417" w:rsidRPr="00FE5E6D" w14:paraId="77780E7A" w14:textId="77777777" w:rsidTr="00E40F43">
        <w:trPr>
          <w:trHeight w:val="850"/>
        </w:trPr>
        <w:tc>
          <w:tcPr>
            <w:tcW w:w="421" w:type="dxa"/>
          </w:tcPr>
          <w:p w14:paraId="73C7E5C2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C630B9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47FCC1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40B83FE5" w14:textId="77777777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με συνολική επιφάνεια άνω των 1.000τ.μ.: 400,00 ευρώ + 0,40 ευρώ ανά τ.μ. πέραν των 1.000 και δεν μπορεί να είναι μεγαλύτερη των 500,00 ευρώ</w:t>
            </w:r>
          </w:p>
        </w:tc>
      </w:tr>
      <w:tr w:rsidR="00422417" w:rsidRPr="00FE5E6D" w14:paraId="23C20798" w14:textId="77777777" w:rsidTr="00E40F43">
        <w:trPr>
          <w:trHeight w:val="622"/>
        </w:trPr>
        <w:tc>
          <w:tcPr>
            <w:tcW w:w="421" w:type="dxa"/>
          </w:tcPr>
          <w:p w14:paraId="53D059CD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2" w:type="dxa"/>
            <w:gridSpan w:val="3"/>
          </w:tcPr>
          <w:p w14:paraId="7B11F47F" w14:textId="4FB6E2B8" w:rsidR="00422417" w:rsidRPr="00F94290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(β)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Ενδιάμεσος</w:t>
            </w:r>
            <w:r w:rsidRPr="00F94290">
              <w:rPr>
                <w:rFonts w:ascii="Arial" w:hAnsi="Arial" w:cs="Arial"/>
                <w:sz w:val="20"/>
                <w:szCs w:val="20"/>
                <w:u w:val="single"/>
              </w:rPr>
              <w:t xml:space="preserve"> Έλεγχος: </w:t>
            </w:r>
          </w:p>
          <w:p w14:paraId="7ADDA2F8" w14:textId="72A394C8" w:rsidR="00422417" w:rsidRPr="00FE5E6D" w:rsidRDefault="00422417" w:rsidP="00422417">
            <w:pPr>
              <w:tabs>
                <w:tab w:val="left" w:pos="1620"/>
              </w:tabs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Νέα Κτήρια/Προσθήκες</w:t>
            </w:r>
            <w:r w:rsidR="00416157" w:rsidRPr="00416157">
              <w:rPr>
                <w:rFonts w:ascii="Arial" w:hAnsi="Arial" w:cs="Arial"/>
                <w:sz w:val="20"/>
                <w:szCs w:val="20"/>
              </w:rPr>
              <w:t>/</w:t>
            </w:r>
            <w:r w:rsidR="00416157">
              <w:rPr>
                <w:rFonts w:ascii="Arial" w:hAnsi="Arial" w:cs="Arial"/>
                <w:sz w:val="20"/>
                <w:szCs w:val="20"/>
              </w:rPr>
              <w:t>Μετατροπές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σε υφιστάμενη ανάπτυξη</w:t>
            </w:r>
          </w:p>
        </w:tc>
      </w:tr>
      <w:tr w:rsidR="00422417" w:rsidRPr="00FE5E6D" w14:paraId="22FE169E" w14:textId="77777777" w:rsidTr="00E40F43">
        <w:trPr>
          <w:trHeight w:val="89"/>
        </w:trPr>
        <w:tc>
          <w:tcPr>
            <w:tcW w:w="421" w:type="dxa"/>
          </w:tcPr>
          <w:p w14:paraId="65AA23AA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271B9B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5AE3E6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57E5B92F" w14:textId="1432DD31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250τ.μ.: 200,00 ευρώ</w:t>
            </w:r>
          </w:p>
        </w:tc>
      </w:tr>
      <w:tr w:rsidR="00422417" w:rsidRPr="00FE5E6D" w14:paraId="731A4AC0" w14:textId="77777777" w:rsidTr="00E40F43">
        <w:trPr>
          <w:trHeight w:val="80"/>
        </w:trPr>
        <w:tc>
          <w:tcPr>
            <w:tcW w:w="421" w:type="dxa"/>
          </w:tcPr>
          <w:p w14:paraId="08B67D60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47469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22C440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6CCF9880" w14:textId="35B2A9A2" w:rsidR="00422417" w:rsidRPr="00FE5E6D" w:rsidRDefault="00422417" w:rsidP="00DA6A59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από 251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500τ.μ.: 300,00 ευρώ</w:t>
            </w:r>
          </w:p>
        </w:tc>
      </w:tr>
      <w:tr w:rsidR="00422417" w:rsidRPr="00FE5E6D" w14:paraId="661FBC7B" w14:textId="77777777" w:rsidTr="00E40F43">
        <w:trPr>
          <w:trHeight w:val="174"/>
        </w:trPr>
        <w:tc>
          <w:tcPr>
            <w:tcW w:w="421" w:type="dxa"/>
          </w:tcPr>
          <w:p w14:paraId="52B2A973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B8ACD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A8B522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1539D151" w14:textId="1E170F84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από 501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1.000τ.μ.: 400,00 ευρώ</w:t>
            </w:r>
          </w:p>
        </w:tc>
      </w:tr>
      <w:tr w:rsidR="00422417" w:rsidRPr="00FE5E6D" w14:paraId="0B1AF5FF" w14:textId="77777777" w:rsidTr="00E40F43">
        <w:trPr>
          <w:trHeight w:val="882"/>
        </w:trPr>
        <w:tc>
          <w:tcPr>
            <w:tcW w:w="421" w:type="dxa"/>
          </w:tcPr>
          <w:p w14:paraId="6A8EB364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84F511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A830A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5041E5D5" w14:textId="77777777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με συνολική επιφάνεια άνω των 1.000τ.μ.: 400,00 ευρώ + 0,40 ευρώ ανά τ.μ. πέραν των 1.000 και δεν μπορεί να είναι μεγαλύτερη των 800,00 ευρώ.</w:t>
            </w:r>
          </w:p>
        </w:tc>
      </w:tr>
      <w:tr w:rsidR="00422417" w:rsidRPr="00FE5E6D" w14:paraId="19855463" w14:textId="77777777" w:rsidTr="00E40F43">
        <w:trPr>
          <w:trHeight w:val="622"/>
        </w:trPr>
        <w:tc>
          <w:tcPr>
            <w:tcW w:w="421" w:type="dxa"/>
          </w:tcPr>
          <w:p w14:paraId="245BF468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2" w:type="dxa"/>
            <w:gridSpan w:val="3"/>
          </w:tcPr>
          <w:p w14:paraId="76BBF92B" w14:textId="36248795" w:rsidR="00422417" w:rsidRPr="00F94290" w:rsidRDefault="00422417" w:rsidP="00DA6A5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γ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94290">
              <w:rPr>
                <w:rFonts w:ascii="Arial" w:hAnsi="Arial" w:cs="Arial"/>
                <w:sz w:val="20"/>
                <w:szCs w:val="20"/>
                <w:u w:val="single"/>
              </w:rPr>
              <w:t>Τελικός Έλεγχος: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52DA16" w14:textId="088FBB5D" w:rsidR="00422417" w:rsidRPr="00FE5E6D" w:rsidRDefault="00422417" w:rsidP="00422417">
            <w:pPr>
              <w:tabs>
                <w:tab w:val="left" w:pos="1620"/>
              </w:tabs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Νέα Κτήρια/Προσθήκες</w:t>
            </w:r>
            <w:r w:rsidR="00416157" w:rsidRPr="00416157">
              <w:rPr>
                <w:rFonts w:ascii="Arial" w:hAnsi="Arial" w:cs="Arial"/>
                <w:sz w:val="20"/>
                <w:szCs w:val="20"/>
              </w:rPr>
              <w:t>/</w:t>
            </w:r>
            <w:r w:rsidR="00416157">
              <w:rPr>
                <w:rFonts w:ascii="Arial" w:hAnsi="Arial" w:cs="Arial"/>
                <w:sz w:val="20"/>
                <w:szCs w:val="20"/>
              </w:rPr>
              <w:t>Μετατροπές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σε υφιστάμενη ανάπτυξη</w:t>
            </w:r>
          </w:p>
        </w:tc>
      </w:tr>
      <w:tr w:rsidR="00422417" w:rsidRPr="00FE5E6D" w14:paraId="2FB4AB80" w14:textId="77777777" w:rsidTr="00E40F43">
        <w:trPr>
          <w:trHeight w:val="80"/>
        </w:trPr>
        <w:tc>
          <w:tcPr>
            <w:tcW w:w="421" w:type="dxa"/>
          </w:tcPr>
          <w:p w14:paraId="2B031E00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2BD25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EF16F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48C1039E" w14:textId="1F59C3A3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250τ.μ.: 250,00 ευρώ</w:t>
            </w:r>
          </w:p>
        </w:tc>
      </w:tr>
      <w:tr w:rsidR="00422417" w:rsidRPr="00FE5E6D" w14:paraId="44F181EB" w14:textId="77777777" w:rsidTr="00E40F43">
        <w:trPr>
          <w:trHeight w:val="80"/>
        </w:trPr>
        <w:tc>
          <w:tcPr>
            <w:tcW w:w="421" w:type="dxa"/>
          </w:tcPr>
          <w:p w14:paraId="412424F1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A0A6B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5E6EAE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71C8F1CF" w14:textId="59C9937D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από 251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500τ.μ.: 400,00 ευρώ</w:t>
            </w:r>
          </w:p>
        </w:tc>
      </w:tr>
      <w:tr w:rsidR="00422417" w:rsidRPr="00FE5E6D" w14:paraId="1250A2C7" w14:textId="77777777" w:rsidTr="00E40F43">
        <w:trPr>
          <w:trHeight w:val="89"/>
        </w:trPr>
        <w:tc>
          <w:tcPr>
            <w:tcW w:w="421" w:type="dxa"/>
          </w:tcPr>
          <w:p w14:paraId="0011E79F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EF6AAB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DC0CE6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14E78E74" w14:textId="25E0193F" w:rsidR="00422417" w:rsidRPr="00142CDC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 xml:space="preserve">με συνολική επιφάνεια από 501 </w:t>
            </w:r>
            <w:r w:rsidR="004B0627" w:rsidRPr="00F94290">
              <w:rPr>
                <w:rFonts w:ascii="Arial" w:hAnsi="Arial" w:cs="Arial"/>
                <w:sz w:val="20"/>
                <w:szCs w:val="20"/>
              </w:rPr>
              <w:t>έως</w:t>
            </w:r>
            <w:r w:rsidRPr="00F94290">
              <w:rPr>
                <w:rFonts w:ascii="Arial" w:hAnsi="Arial" w:cs="Arial"/>
                <w:sz w:val="20"/>
                <w:szCs w:val="20"/>
              </w:rPr>
              <w:t xml:space="preserve"> 1.000τ.μ.: 600,00 ευρώ</w:t>
            </w:r>
          </w:p>
        </w:tc>
      </w:tr>
      <w:tr w:rsidR="00422417" w:rsidRPr="00FE5E6D" w14:paraId="24E85F68" w14:textId="77777777" w:rsidTr="00E40F43">
        <w:trPr>
          <w:trHeight w:val="475"/>
        </w:trPr>
        <w:tc>
          <w:tcPr>
            <w:tcW w:w="421" w:type="dxa"/>
          </w:tcPr>
          <w:p w14:paraId="3A8178D5" w14:textId="77777777" w:rsidR="00422417" w:rsidRPr="00FE5E6D" w:rsidRDefault="00422417" w:rsidP="00DA6A59">
            <w:pPr>
              <w:spacing w:before="6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55EFB" w14:textId="77777777" w:rsidR="00422417" w:rsidRPr="00EE18ED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198C04" w14:textId="77777777" w:rsidR="00422417" w:rsidRDefault="00422417" w:rsidP="00DA6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0" w:type="dxa"/>
          </w:tcPr>
          <w:p w14:paraId="481D3E35" w14:textId="77777777" w:rsidR="00422417" w:rsidRPr="00FE5E6D" w:rsidRDefault="00422417" w:rsidP="00DA6A59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290">
              <w:rPr>
                <w:rFonts w:ascii="Arial" w:hAnsi="Arial" w:cs="Arial"/>
                <w:sz w:val="20"/>
                <w:szCs w:val="20"/>
              </w:rPr>
              <w:t>με συνολική επιφάνεια άνω των 1.000τ.μ.: 600,00 ευρώ + 0,40 ευρώ ανά τ.μ. πέραν των 1.000 και δεν μπορεί να είναι μεγαλύτερη των 1.000,00 ευρώ</w:t>
            </w:r>
          </w:p>
        </w:tc>
      </w:tr>
      <w:tr w:rsidR="006430F3" w:rsidRPr="00422417" w14:paraId="0FB13BE0" w14:textId="77777777" w:rsidTr="00E40F43">
        <w:trPr>
          <w:trHeight w:val="475"/>
        </w:trPr>
        <w:tc>
          <w:tcPr>
            <w:tcW w:w="9923" w:type="dxa"/>
            <w:gridSpan w:val="4"/>
          </w:tcPr>
          <w:p w14:paraId="4560051E" w14:textId="010246C3" w:rsidR="006430F3" w:rsidRDefault="006430F3" w:rsidP="00DA6A59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Για σκοπούς υπολογισμού του ύψους των δικαιωμάτων</w:t>
            </w:r>
            <w:r w:rsidR="0038190A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οικοδομικού ελέγχου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  <w:r w:rsidR="0038190A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που αφορούν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προσθήκη</w:t>
            </w:r>
            <w:r w:rsidR="0041615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/μετατροπή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σε υφιστάμενη ανάπτυξη, συνολική επιφάνεια </w:t>
            </w:r>
            <w:r w:rsidR="00021E43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λαμβάνεται υπόψη ως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το εμβαδόν της προσθήκης</w:t>
            </w:r>
            <w:r w:rsidR="0041615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/μετατροπής</w:t>
            </w:r>
            <w:r w:rsidR="00671323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.</w:t>
            </w:r>
          </w:p>
        </w:tc>
      </w:tr>
      <w:tr w:rsidR="00B31717" w:rsidRPr="00422417" w14:paraId="19D07D2C" w14:textId="77777777" w:rsidTr="00E40F43">
        <w:trPr>
          <w:trHeight w:val="475"/>
        </w:trPr>
        <w:tc>
          <w:tcPr>
            <w:tcW w:w="9923" w:type="dxa"/>
            <w:gridSpan w:val="4"/>
          </w:tcPr>
          <w:p w14:paraId="4B125840" w14:textId="28C485A5" w:rsidR="00B31717" w:rsidRPr="00B31717" w:rsidRDefault="00B31717" w:rsidP="00DA6A59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Για τις περιπτώσεις αναπτύξεων </w:t>
            </w:r>
            <w:r w:rsidR="008D0261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για τις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οποίες</w:t>
            </w:r>
            <w:r w:rsidR="008D0261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, βάσει διατάγματος του Υπουργού σύμφωνα με το άρθρο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  <w:r w:rsidR="008D0261" w:rsidRPr="00142CDC">
              <w:rPr>
                <w:rFonts w:ascii="Arial" w:hAnsi="Arial" w:cs="Arial"/>
                <w:sz w:val="20"/>
                <w:szCs w:val="20"/>
                <w:lang w:val="el-GR"/>
              </w:rPr>
              <w:t>3Α(1)(α)(</w:t>
            </w:r>
            <w:r w:rsidR="008D0261">
              <w:rPr>
                <w:rFonts w:ascii="Arial" w:hAnsi="Arial" w:cs="Arial"/>
                <w:sz w:val="20"/>
                <w:szCs w:val="20"/>
              </w:rPr>
              <w:t>iii</w:t>
            </w:r>
            <w:r w:rsidR="008D0261" w:rsidRPr="001678E1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  <w:r w:rsidR="008D0261" w:rsidRP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Νόμου</w:t>
            </w:r>
            <w:r w:rsidR="008D0261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,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απαιτείται η διενέργεια οικοδομικού ελέγχου από ομάδα ελεγκτών δόμησης, το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lastRenderedPageBreak/>
              <w:t>ποσό που θα καταβάλλεται</w:t>
            </w:r>
            <w:r w:rsidR="00671323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  <w:r w:rsidR="00EE549A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για κάθε στάδιο ελέγχου </w:t>
            </w:r>
            <w:r w:rsidR="00671323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θα είναι ανάλογο του αριθμού </w:t>
            </w:r>
            <w:r w:rsidR="00021E43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των Ελεγκτών Δόμησης που απαιτούνται για τη διενέργεια του οικοδομικού ελέγχου</w:t>
            </w:r>
            <w:r w:rsidR="00EE549A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στο εν λόγω στάδιο</w:t>
            </w:r>
            <w:r w:rsidR="00021E43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.</w:t>
            </w:r>
          </w:p>
        </w:tc>
      </w:tr>
      <w:tr w:rsidR="00B31717" w:rsidRPr="00422417" w14:paraId="2670889A" w14:textId="77777777" w:rsidTr="00E40F43">
        <w:trPr>
          <w:trHeight w:val="475"/>
        </w:trPr>
        <w:tc>
          <w:tcPr>
            <w:tcW w:w="9923" w:type="dxa"/>
            <w:gridSpan w:val="4"/>
          </w:tcPr>
          <w:p w14:paraId="00B121F6" w14:textId="2F67D0B1" w:rsidR="00B31717" w:rsidRDefault="008D0261" w:rsidP="00DA6A59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lastRenderedPageBreak/>
              <w:t xml:space="preserve">Για τις περιπτώσεις αναπτύξεων για τις οποίες, βάσει διατάγματος του Υπουργού σύμφωνα με το άρθρο </w:t>
            </w:r>
            <w:r w:rsidRPr="00142CDC">
              <w:rPr>
                <w:rFonts w:ascii="Arial" w:hAnsi="Arial" w:cs="Arial"/>
                <w:sz w:val="20"/>
                <w:szCs w:val="20"/>
                <w:lang w:val="el-GR"/>
              </w:rPr>
              <w:t>3Α(1)(α)(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1678E1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  <w:r w:rsidRPr="00142CDC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Νόμου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, </w:t>
            </w:r>
            <w:r w:rsidR="00B3171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απαιτείται η διενέργεια οικοδομικού ελέγχου σε δειγματοληπτική βάση, το ποσό που θα καταβάλλεται</w:t>
            </w:r>
            <w:r w:rsidR="00EA7ADA" w:rsidRPr="00EA7ADA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  <w:r w:rsidR="005352CB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θα </w:t>
            </w:r>
            <w:r w:rsidR="00BB004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είναι ανάλογο του</w:t>
            </w:r>
            <w:r w:rsidR="005352CB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ποσοστ</w:t>
            </w:r>
            <w:r w:rsidR="00BB004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ού</w:t>
            </w:r>
            <w:r w:rsidR="005352CB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του δειγματοληπτικού ελέγχου που απαιτείται</w:t>
            </w:r>
            <w:r w:rsidR="0041615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για την</w:t>
            </w:r>
            <w:r w:rsidR="002047D5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κατηγορία </w:t>
            </w:r>
            <w:r w:rsidR="0041615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στην οποία εμπίπτει </w:t>
            </w:r>
            <w:r w:rsidR="002047D5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η ανάπτυξη</w:t>
            </w:r>
            <w:r w:rsidR="00476E24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.</w:t>
            </w:r>
          </w:p>
        </w:tc>
      </w:tr>
      <w:tr w:rsidR="00131D02" w:rsidRPr="00422417" w14:paraId="5983E41F" w14:textId="77777777" w:rsidTr="00E40F43">
        <w:trPr>
          <w:trHeight w:val="475"/>
        </w:trPr>
        <w:tc>
          <w:tcPr>
            <w:tcW w:w="9923" w:type="dxa"/>
            <w:gridSpan w:val="4"/>
          </w:tcPr>
          <w:p w14:paraId="01DEC04C" w14:textId="52787A2F" w:rsidR="00131D02" w:rsidRDefault="00131D02" w:rsidP="00DA6A59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Η αμοιβή του </w:t>
            </w:r>
            <w:r w:rsidR="00993C5F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κάθε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Ελεγκτή Δόμησης για κάθε στάδιο</w:t>
            </w:r>
            <w:r w:rsidR="0040650E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οικοδομικού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ελέγχου </w:t>
            </w:r>
            <w:r w:rsidR="00476E24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που διενεργεί, </w:t>
            </w:r>
            <w:r w:rsidR="00BB0047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θα είναι ίση με το </w:t>
            </w:r>
            <w:r w:rsidR="005C5A1E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ποσό που προκύπτει με βάση την παράγραφο (3) του παρόντος Παραρτήματος, για τη συγκεκριμένη ανάπτυξη στην οποία διενεργεί τον οικοδομικό έλεγχο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.</w:t>
            </w:r>
            <w:r w:rsidR="0040650E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</w:p>
        </w:tc>
      </w:tr>
      <w:tr w:rsidR="00FC58DA" w:rsidRPr="00422417" w14:paraId="52E28B45" w14:textId="77777777" w:rsidTr="00E40F43">
        <w:trPr>
          <w:trHeight w:val="475"/>
        </w:trPr>
        <w:tc>
          <w:tcPr>
            <w:tcW w:w="9923" w:type="dxa"/>
            <w:gridSpan w:val="4"/>
          </w:tcPr>
          <w:p w14:paraId="2277396B" w14:textId="48C1D643" w:rsidR="00FC58DA" w:rsidRDefault="00FC58DA" w:rsidP="00DA6A59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Σε περίπτωση που, ενώ έχουν καταβληθεί δικαιώματα για τη διενέργεια οικοδομικού Ελέγχου, η αίτηση για έκδοση άδειας απορριφθεί από την αρμόδια αρχή με αποτέλεσμα ο οικοδομικός έλεγχος να καθίσταται ως άνευ αντικειμένου, τα δικαιώματα που έχουν καταβληθεί θα επιστρέφονται από την αρμόδια αρχή </w:t>
            </w:r>
            <w:r w:rsidR="002C1C50"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προς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 xml:space="preserve">τον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αιτητή</w:t>
            </w:r>
            <w:proofErr w:type="spellEnd"/>
            <w:r>
              <w:rPr>
                <w:rFonts w:ascii="Arial" w:eastAsia="Calibri" w:hAnsi="Arial" w:cs="Arial"/>
                <w:kern w:val="0"/>
                <w:sz w:val="20"/>
                <w:szCs w:val="20"/>
                <w:lang w:val="el-GR"/>
                <w14:ligatures w14:val="none"/>
              </w:rPr>
              <w:t>.</w:t>
            </w:r>
          </w:p>
        </w:tc>
      </w:tr>
      <w:tr w:rsidR="00131D02" w:rsidRPr="00422417" w14:paraId="327D80EF" w14:textId="77777777" w:rsidTr="00E40F43">
        <w:trPr>
          <w:trHeight w:val="475"/>
        </w:trPr>
        <w:tc>
          <w:tcPr>
            <w:tcW w:w="9923" w:type="dxa"/>
            <w:gridSpan w:val="4"/>
          </w:tcPr>
          <w:p w14:paraId="31415598" w14:textId="77777777" w:rsidR="00131D02" w:rsidRPr="00131D02" w:rsidRDefault="00131D02" w:rsidP="00131D02">
            <w:pPr>
              <w:tabs>
                <w:tab w:val="left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294D9" w14:textId="77777777" w:rsidR="00422417" w:rsidRDefault="00422417" w:rsidP="00422417">
      <w:pPr>
        <w:spacing w:after="0" w:line="320" w:lineRule="exact"/>
        <w:jc w:val="both"/>
        <w:rPr>
          <w:rFonts w:ascii="Arial" w:hAnsi="Arial" w:cs="Arial"/>
          <w:color w:val="000000" w:themeColor="text1"/>
        </w:rPr>
      </w:pPr>
    </w:p>
    <w:sectPr w:rsidR="00422417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2C4D" w14:textId="77777777" w:rsidR="00861334" w:rsidRDefault="00861334" w:rsidP="00252B98">
      <w:pPr>
        <w:spacing w:after="0" w:line="240" w:lineRule="auto"/>
      </w:pPr>
      <w:r>
        <w:separator/>
      </w:r>
    </w:p>
  </w:endnote>
  <w:endnote w:type="continuationSeparator" w:id="0">
    <w:p w14:paraId="382C8154" w14:textId="77777777" w:rsidR="00861334" w:rsidRDefault="00861334" w:rsidP="0025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E3B6" w14:textId="77777777" w:rsidR="00861334" w:rsidRDefault="00861334" w:rsidP="00252B98">
      <w:pPr>
        <w:spacing w:after="0" w:line="240" w:lineRule="auto"/>
      </w:pPr>
      <w:r>
        <w:separator/>
      </w:r>
    </w:p>
  </w:footnote>
  <w:footnote w:type="continuationSeparator" w:id="0">
    <w:p w14:paraId="55F58E7E" w14:textId="77777777" w:rsidR="00861334" w:rsidRDefault="00861334" w:rsidP="0025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30B4" w14:textId="27B13162" w:rsidR="00A9372B" w:rsidRDefault="00861334">
    <w:pPr>
      <w:pStyle w:val="Header"/>
    </w:pPr>
    <w:r>
      <w:rPr>
        <w:noProof/>
      </w:rPr>
      <w:pict w14:anchorId="3EA3A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352547" o:spid="_x0000_s1026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ΠΡΟΣΧΕΔΙ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9FCA" w14:textId="3484B27E" w:rsidR="00D25928" w:rsidRPr="00D25928" w:rsidRDefault="00861334" w:rsidP="00A9372B">
    <w:pPr>
      <w:pStyle w:val="Header"/>
      <w:jc w:val="center"/>
      <w:rPr>
        <w:sz w:val="20"/>
        <w:szCs w:val="20"/>
      </w:rPr>
    </w:pPr>
    <w:r>
      <w:rPr>
        <w:noProof/>
      </w:rPr>
      <w:pict w14:anchorId="3B61DD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352548" o:spid="_x0000_s1027" type="#_x0000_t136" style="position:absolute;left:0;text-align:left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ΠΡΟΣΧΕΔΙΟ"/>
          <w10:wrap anchorx="margin" anchory="margin"/>
        </v:shape>
      </w:pict>
    </w:r>
    <w:sdt>
      <w:sdtPr>
        <w:id w:val="1781538594"/>
        <w:docPartObj>
          <w:docPartGallery w:val="Page Numbers (Top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D25928" w:rsidRPr="00D25928">
          <w:rPr>
            <w:rFonts w:ascii="Arial" w:hAnsi="Arial" w:cs="Arial"/>
            <w:sz w:val="20"/>
            <w:szCs w:val="20"/>
          </w:rPr>
          <w:fldChar w:fldCharType="begin"/>
        </w:r>
        <w:r w:rsidR="00D25928" w:rsidRPr="00D2592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25928" w:rsidRPr="00D25928">
          <w:rPr>
            <w:rFonts w:ascii="Arial" w:hAnsi="Arial" w:cs="Arial"/>
            <w:sz w:val="20"/>
            <w:szCs w:val="20"/>
          </w:rPr>
          <w:fldChar w:fldCharType="separate"/>
        </w:r>
        <w:r w:rsidR="00D25928" w:rsidRPr="00D25928">
          <w:rPr>
            <w:rFonts w:ascii="Arial" w:hAnsi="Arial" w:cs="Arial"/>
            <w:noProof/>
            <w:sz w:val="20"/>
            <w:szCs w:val="20"/>
          </w:rPr>
          <w:t>2</w:t>
        </w:r>
        <w:r w:rsidR="00D25928" w:rsidRPr="00D25928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3856B3BF" w14:textId="77777777" w:rsidR="00D25928" w:rsidRDefault="00D25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665B" w14:textId="58FC3F9D" w:rsidR="00A9372B" w:rsidRDefault="00861334">
    <w:pPr>
      <w:pStyle w:val="Header"/>
    </w:pPr>
    <w:r>
      <w:rPr>
        <w:noProof/>
      </w:rPr>
      <w:pict w14:anchorId="1DF19C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352546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ΠΡΟΣΧΕΔΙ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246F"/>
    <w:multiLevelType w:val="hybridMultilevel"/>
    <w:tmpl w:val="3E20A5B2"/>
    <w:lvl w:ilvl="0" w:tplc="B4CC92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B53"/>
    <w:multiLevelType w:val="hybridMultilevel"/>
    <w:tmpl w:val="554E1A1C"/>
    <w:lvl w:ilvl="0" w:tplc="E7C658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32DE2"/>
    <w:multiLevelType w:val="hybridMultilevel"/>
    <w:tmpl w:val="0A3E67B8"/>
    <w:lvl w:ilvl="0" w:tplc="9B4AEC8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C91"/>
    <w:multiLevelType w:val="hybridMultilevel"/>
    <w:tmpl w:val="A2D2C314"/>
    <w:lvl w:ilvl="0" w:tplc="85D84B4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40480354">
    <w:abstractNumId w:val="3"/>
  </w:num>
  <w:num w:numId="2" w16cid:durableId="885218745">
    <w:abstractNumId w:val="2"/>
  </w:num>
  <w:num w:numId="3" w16cid:durableId="1261373689">
    <w:abstractNumId w:val="1"/>
  </w:num>
  <w:num w:numId="4" w16cid:durableId="735521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9"/>
    <w:rsid w:val="000128EC"/>
    <w:rsid w:val="0001384B"/>
    <w:rsid w:val="00021E43"/>
    <w:rsid w:val="00026FDC"/>
    <w:rsid w:val="00036165"/>
    <w:rsid w:val="00046B41"/>
    <w:rsid w:val="0004744C"/>
    <w:rsid w:val="00070AFF"/>
    <w:rsid w:val="00074ABF"/>
    <w:rsid w:val="00091AAE"/>
    <w:rsid w:val="000A539F"/>
    <w:rsid w:val="000A56A7"/>
    <w:rsid w:val="000D725B"/>
    <w:rsid w:val="000E6F45"/>
    <w:rsid w:val="000F3378"/>
    <w:rsid w:val="000F5FA8"/>
    <w:rsid w:val="000F68DB"/>
    <w:rsid w:val="000F6DEC"/>
    <w:rsid w:val="0010459C"/>
    <w:rsid w:val="001124A0"/>
    <w:rsid w:val="00126ED9"/>
    <w:rsid w:val="00131D02"/>
    <w:rsid w:val="001339F6"/>
    <w:rsid w:val="00133FAA"/>
    <w:rsid w:val="00140137"/>
    <w:rsid w:val="00142CDC"/>
    <w:rsid w:val="00144EBD"/>
    <w:rsid w:val="001564BC"/>
    <w:rsid w:val="001631CB"/>
    <w:rsid w:val="00166342"/>
    <w:rsid w:val="001678E1"/>
    <w:rsid w:val="00170D63"/>
    <w:rsid w:val="00171AE3"/>
    <w:rsid w:val="0019656C"/>
    <w:rsid w:val="001C4DF8"/>
    <w:rsid w:val="001E200F"/>
    <w:rsid w:val="001F47BD"/>
    <w:rsid w:val="002042FD"/>
    <w:rsid w:val="002047D5"/>
    <w:rsid w:val="00212B3E"/>
    <w:rsid w:val="002259F1"/>
    <w:rsid w:val="00230DD5"/>
    <w:rsid w:val="00240E02"/>
    <w:rsid w:val="0024370C"/>
    <w:rsid w:val="00245AE4"/>
    <w:rsid w:val="00252B98"/>
    <w:rsid w:val="00263D66"/>
    <w:rsid w:val="00272F25"/>
    <w:rsid w:val="0027479D"/>
    <w:rsid w:val="002942B2"/>
    <w:rsid w:val="002A2CF0"/>
    <w:rsid w:val="002A3B72"/>
    <w:rsid w:val="002B6B8A"/>
    <w:rsid w:val="002C1C50"/>
    <w:rsid w:val="002D75B6"/>
    <w:rsid w:val="002D7C03"/>
    <w:rsid w:val="002E4EC2"/>
    <w:rsid w:val="002F7687"/>
    <w:rsid w:val="00330900"/>
    <w:rsid w:val="00342EFC"/>
    <w:rsid w:val="0036794F"/>
    <w:rsid w:val="00374843"/>
    <w:rsid w:val="0038190A"/>
    <w:rsid w:val="0039137D"/>
    <w:rsid w:val="003A28E2"/>
    <w:rsid w:val="003B791C"/>
    <w:rsid w:val="003C584D"/>
    <w:rsid w:val="003D2B54"/>
    <w:rsid w:val="003D6501"/>
    <w:rsid w:val="003E144D"/>
    <w:rsid w:val="003F1CFD"/>
    <w:rsid w:val="003F1DE9"/>
    <w:rsid w:val="0040650E"/>
    <w:rsid w:val="00416157"/>
    <w:rsid w:val="00417581"/>
    <w:rsid w:val="00422417"/>
    <w:rsid w:val="00441A94"/>
    <w:rsid w:val="00445508"/>
    <w:rsid w:val="00445913"/>
    <w:rsid w:val="0045109B"/>
    <w:rsid w:val="00464525"/>
    <w:rsid w:val="00476E24"/>
    <w:rsid w:val="004B0627"/>
    <w:rsid w:val="004C0DBF"/>
    <w:rsid w:val="00503921"/>
    <w:rsid w:val="00510422"/>
    <w:rsid w:val="005127A8"/>
    <w:rsid w:val="00524934"/>
    <w:rsid w:val="00526EBF"/>
    <w:rsid w:val="00533B17"/>
    <w:rsid w:val="005352CB"/>
    <w:rsid w:val="00541746"/>
    <w:rsid w:val="00542D60"/>
    <w:rsid w:val="005672CB"/>
    <w:rsid w:val="0057596A"/>
    <w:rsid w:val="00586BD9"/>
    <w:rsid w:val="00592D7B"/>
    <w:rsid w:val="00595CB8"/>
    <w:rsid w:val="005A0009"/>
    <w:rsid w:val="005A45B1"/>
    <w:rsid w:val="005A56AE"/>
    <w:rsid w:val="005C5A1E"/>
    <w:rsid w:val="005D207B"/>
    <w:rsid w:val="005E4AC9"/>
    <w:rsid w:val="0060741B"/>
    <w:rsid w:val="006106B3"/>
    <w:rsid w:val="006159F3"/>
    <w:rsid w:val="00624BA8"/>
    <w:rsid w:val="00642DA0"/>
    <w:rsid w:val="006430F3"/>
    <w:rsid w:val="00664657"/>
    <w:rsid w:val="00671323"/>
    <w:rsid w:val="0067216A"/>
    <w:rsid w:val="00676CE4"/>
    <w:rsid w:val="00681476"/>
    <w:rsid w:val="006A19A9"/>
    <w:rsid w:val="006A1B54"/>
    <w:rsid w:val="006B2AC6"/>
    <w:rsid w:val="006C05F8"/>
    <w:rsid w:val="006E7EF5"/>
    <w:rsid w:val="006F6157"/>
    <w:rsid w:val="006F79EE"/>
    <w:rsid w:val="007023F6"/>
    <w:rsid w:val="00703B42"/>
    <w:rsid w:val="00705F67"/>
    <w:rsid w:val="00732CC0"/>
    <w:rsid w:val="00741A60"/>
    <w:rsid w:val="007705EA"/>
    <w:rsid w:val="007741E5"/>
    <w:rsid w:val="0077486B"/>
    <w:rsid w:val="00775AEE"/>
    <w:rsid w:val="007808FC"/>
    <w:rsid w:val="007A611A"/>
    <w:rsid w:val="007B3BFB"/>
    <w:rsid w:val="007C7E8E"/>
    <w:rsid w:val="00811BB6"/>
    <w:rsid w:val="00836224"/>
    <w:rsid w:val="008408D1"/>
    <w:rsid w:val="0084449D"/>
    <w:rsid w:val="008447F1"/>
    <w:rsid w:val="00850E6E"/>
    <w:rsid w:val="0085112D"/>
    <w:rsid w:val="00861334"/>
    <w:rsid w:val="00861AB1"/>
    <w:rsid w:val="008678BC"/>
    <w:rsid w:val="008914C7"/>
    <w:rsid w:val="00893605"/>
    <w:rsid w:val="008B7163"/>
    <w:rsid w:val="008D0261"/>
    <w:rsid w:val="008E3E02"/>
    <w:rsid w:val="008F1D1F"/>
    <w:rsid w:val="00907011"/>
    <w:rsid w:val="009138F3"/>
    <w:rsid w:val="009205C1"/>
    <w:rsid w:val="0093574E"/>
    <w:rsid w:val="00941469"/>
    <w:rsid w:val="00954CDD"/>
    <w:rsid w:val="00967684"/>
    <w:rsid w:val="00967E6F"/>
    <w:rsid w:val="00972DEE"/>
    <w:rsid w:val="0097393B"/>
    <w:rsid w:val="00993C5F"/>
    <w:rsid w:val="009B023E"/>
    <w:rsid w:val="009B5352"/>
    <w:rsid w:val="009B62A8"/>
    <w:rsid w:val="009F0986"/>
    <w:rsid w:val="009F7C08"/>
    <w:rsid w:val="00A04E05"/>
    <w:rsid w:val="00A11E81"/>
    <w:rsid w:val="00A1633D"/>
    <w:rsid w:val="00A17E1F"/>
    <w:rsid w:val="00A21D67"/>
    <w:rsid w:val="00A34A8D"/>
    <w:rsid w:val="00A41A62"/>
    <w:rsid w:val="00A42744"/>
    <w:rsid w:val="00A518F8"/>
    <w:rsid w:val="00A8773A"/>
    <w:rsid w:val="00A9372B"/>
    <w:rsid w:val="00AA4779"/>
    <w:rsid w:val="00AA5779"/>
    <w:rsid w:val="00AB2F90"/>
    <w:rsid w:val="00AC422B"/>
    <w:rsid w:val="00AD5053"/>
    <w:rsid w:val="00AF567A"/>
    <w:rsid w:val="00B05C94"/>
    <w:rsid w:val="00B07916"/>
    <w:rsid w:val="00B31717"/>
    <w:rsid w:val="00B33F5A"/>
    <w:rsid w:val="00B414DF"/>
    <w:rsid w:val="00B5136E"/>
    <w:rsid w:val="00B64510"/>
    <w:rsid w:val="00B64B0F"/>
    <w:rsid w:val="00B7266C"/>
    <w:rsid w:val="00B90106"/>
    <w:rsid w:val="00B95D30"/>
    <w:rsid w:val="00BA281D"/>
    <w:rsid w:val="00BB0047"/>
    <w:rsid w:val="00BB2E0D"/>
    <w:rsid w:val="00BC0C8C"/>
    <w:rsid w:val="00BC119A"/>
    <w:rsid w:val="00BC7A09"/>
    <w:rsid w:val="00BD5155"/>
    <w:rsid w:val="00C019FF"/>
    <w:rsid w:val="00C03346"/>
    <w:rsid w:val="00C37FF8"/>
    <w:rsid w:val="00C4031B"/>
    <w:rsid w:val="00C46A86"/>
    <w:rsid w:val="00C60C91"/>
    <w:rsid w:val="00C612E8"/>
    <w:rsid w:val="00C632B4"/>
    <w:rsid w:val="00C646C6"/>
    <w:rsid w:val="00C65C18"/>
    <w:rsid w:val="00C73DFA"/>
    <w:rsid w:val="00C77CC3"/>
    <w:rsid w:val="00C80654"/>
    <w:rsid w:val="00C8652C"/>
    <w:rsid w:val="00C865BC"/>
    <w:rsid w:val="00C86985"/>
    <w:rsid w:val="00CA7CA9"/>
    <w:rsid w:val="00CA7CD4"/>
    <w:rsid w:val="00CB1EA7"/>
    <w:rsid w:val="00CB611A"/>
    <w:rsid w:val="00CB79D4"/>
    <w:rsid w:val="00CE0058"/>
    <w:rsid w:val="00D12050"/>
    <w:rsid w:val="00D15D33"/>
    <w:rsid w:val="00D25928"/>
    <w:rsid w:val="00D278F2"/>
    <w:rsid w:val="00D47E18"/>
    <w:rsid w:val="00D628F3"/>
    <w:rsid w:val="00D65E0E"/>
    <w:rsid w:val="00D724C4"/>
    <w:rsid w:val="00DA4352"/>
    <w:rsid w:val="00DA43BA"/>
    <w:rsid w:val="00DA5C26"/>
    <w:rsid w:val="00DB5AC7"/>
    <w:rsid w:val="00DC4EE3"/>
    <w:rsid w:val="00DC6413"/>
    <w:rsid w:val="00DD5951"/>
    <w:rsid w:val="00DE54E4"/>
    <w:rsid w:val="00E033EE"/>
    <w:rsid w:val="00E20047"/>
    <w:rsid w:val="00E21600"/>
    <w:rsid w:val="00E261B9"/>
    <w:rsid w:val="00E363DC"/>
    <w:rsid w:val="00E40F43"/>
    <w:rsid w:val="00E41A47"/>
    <w:rsid w:val="00E83D30"/>
    <w:rsid w:val="00EA7ADA"/>
    <w:rsid w:val="00EC0BB0"/>
    <w:rsid w:val="00EC1C27"/>
    <w:rsid w:val="00ED0EB9"/>
    <w:rsid w:val="00ED4DCD"/>
    <w:rsid w:val="00EE18ED"/>
    <w:rsid w:val="00EE549A"/>
    <w:rsid w:val="00EE71D8"/>
    <w:rsid w:val="00F25C83"/>
    <w:rsid w:val="00F55334"/>
    <w:rsid w:val="00F6382D"/>
    <w:rsid w:val="00F8055B"/>
    <w:rsid w:val="00F805FC"/>
    <w:rsid w:val="00F87D42"/>
    <w:rsid w:val="00F94290"/>
    <w:rsid w:val="00F95A23"/>
    <w:rsid w:val="00FA460A"/>
    <w:rsid w:val="00FB53AB"/>
    <w:rsid w:val="00FB6DB8"/>
    <w:rsid w:val="00FC58DA"/>
    <w:rsid w:val="00FD78BF"/>
    <w:rsid w:val="00FE5E6D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E607"/>
  <w15:chartTrackingRefBased/>
  <w15:docId w15:val="{B947DC96-53A3-413B-AB59-21326830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0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4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4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4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4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4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4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4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4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4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4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4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46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B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B98"/>
    <w:rPr>
      <w:rFonts w:ascii="Calibri" w:eastAsia="Calibri" w:hAnsi="Calibri" w:cs="Times New Roman"/>
      <w:kern w:val="0"/>
      <w:sz w:val="20"/>
      <w:szCs w:val="20"/>
      <w:lang w:val="el-G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52B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6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33D"/>
    <w:rPr>
      <w:rFonts w:ascii="Calibri" w:eastAsia="Calibri" w:hAnsi="Calibri" w:cs="Times New Roman"/>
      <w:kern w:val="0"/>
      <w:sz w:val="20"/>
      <w:szCs w:val="20"/>
      <w:lang w:val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33D"/>
    <w:rPr>
      <w:rFonts w:ascii="Calibri" w:eastAsia="Calibri" w:hAnsi="Calibri" w:cs="Times New Roman"/>
      <w:b/>
      <w:bCs/>
      <w:kern w:val="0"/>
      <w:sz w:val="20"/>
      <w:szCs w:val="20"/>
      <w:lang w:val="el-GR"/>
      <w14:ligatures w14:val="none"/>
    </w:rPr>
  </w:style>
  <w:style w:type="character" w:customStyle="1" w:styleId="Bodytext1">
    <w:name w:val="Body text|1_"/>
    <w:basedOn w:val="DefaultParagraphFont"/>
    <w:link w:val="Bodytext10"/>
    <w:rsid w:val="00967E6F"/>
    <w:rPr>
      <w:rFonts w:ascii="Cambria" w:eastAsia="Cambria" w:hAnsi="Cambria" w:cs="Cambria"/>
    </w:rPr>
  </w:style>
  <w:style w:type="character" w:customStyle="1" w:styleId="Heading21">
    <w:name w:val="Heading #2|1_"/>
    <w:basedOn w:val="DefaultParagraphFont"/>
    <w:link w:val="Heading210"/>
    <w:rsid w:val="00967E6F"/>
    <w:rPr>
      <w:rFonts w:ascii="Cambria" w:eastAsia="Cambria" w:hAnsi="Cambria" w:cs="Cambria"/>
      <w:b/>
    </w:rPr>
  </w:style>
  <w:style w:type="paragraph" w:customStyle="1" w:styleId="Bodytext10">
    <w:name w:val="Body text|1"/>
    <w:basedOn w:val="Normal"/>
    <w:link w:val="Bodytext1"/>
    <w:rsid w:val="00967E6F"/>
    <w:pPr>
      <w:widowControl w:val="0"/>
      <w:spacing w:after="160" w:line="240" w:lineRule="auto"/>
    </w:pPr>
    <w:rPr>
      <w:rFonts w:ascii="Cambria" w:eastAsia="Cambria" w:hAnsi="Cambria" w:cs="Cambria"/>
      <w:kern w:val="2"/>
      <w:sz w:val="24"/>
      <w:szCs w:val="24"/>
      <w:lang w:val="en-US"/>
      <w14:ligatures w14:val="standardContextual"/>
    </w:rPr>
  </w:style>
  <w:style w:type="paragraph" w:customStyle="1" w:styleId="Heading210">
    <w:name w:val="Heading #2|1"/>
    <w:basedOn w:val="Normal"/>
    <w:link w:val="Heading21"/>
    <w:rsid w:val="00967E6F"/>
    <w:pPr>
      <w:widowControl w:val="0"/>
      <w:spacing w:after="220" w:line="240" w:lineRule="auto"/>
      <w:outlineLvl w:val="1"/>
    </w:pPr>
    <w:rPr>
      <w:rFonts w:ascii="Cambria" w:eastAsia="Cambria" w:hAnsi="Cambria" w:cs="Cambria"/>
      <w:b/>
      <w:kern w:val="2"/>
      <w:sz w:val="24"/>
      <w:szCs w:val="24"/>
      <w:lang w:val="en-US"/>
      <w14:ligatures w14:val="standardContextual"/>
    </w:rPr>
  </w:style>
  <w:style w:type="character" w:customStyle="1" w:styleId="Heading11">
    <w:name w:val="Heading #1|1_"/>
    <w:basedOn w:val="DefaultParagraphFont"/>
    <w:link w:val="Heading110"/>
    <w:rsid w:val="00967E6F"/>
    <w:rPr>
      <w:rFonts w:ascii="Cambria" w:eastAsia="Cambria" w:hAnsi="Cambria" w:cs="Cambria"/>
      <w:b/>
    </w:rPr>
  </w:style>
  <w:style w:type="paragraph" w:customStyle="1" w:styleId="Heading110">
    <w:name w:val="Heading #1|1"/>
    <w:basedOn w:val="Normal"/>
    <w:link w:val="Heading11"/>
    <w:rsid w:val="00967E6F"/>
    <w:pPr>
      <w:widowControl w:val="0"/>
      <w:spacing w:after="220" w:line="221" w:lineRule="auto"/>
      <w:outlineLvl w:val="0"/>
    </w:pPr>
    <w:rPr>
      <w:rFonts w:ascii="Cambria" w:eastAsia="Cambria" w:hAnsi="Cambria" w:cs="Cambria"/>
      <w:b/>
      <w:kern w:val="2"/>
      <w:sz w:val="24"/>
      <w:szCs w:val="24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67E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67E6F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E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67E6F"/>
    <w:rPr>
      <w:kern w:val="0"/>
      <w:sz w:val="22"/>
      <w:szCs w:val="22"/>
      <w:lang w:val="en-GB"/>
      <w14:ligatures w14:val="none"/>
    </w:rPr>
  </w:style>
  <w:style w:type="character" w:customStyle="1" w:styleId="Bodytext2">
    <w:name w:val="Body text|2_"/>
    <w:basedOn w:val="DefaultParagraphFont"/>
    <w:link w:val="Bodytext20"/>
    <w:rsid w:val="00967E6F"/>
    <w:rPr>
      <w:rFonts w:ascii="Verdana" w:eastAsia="Verdana" w:hAnsi="Verdana" w:cs="Verdana"/>
      <w:b/>
      <w:color w:val="0000FF"/>
      <w:sz w:val="20"/>
    </w:rPr>
  </w:style>
  <w:style w:type="character" w:customStyle="1" w:styleId="Other1">
    <w:name w:val="Other|1_"/>
    <w:basedOn w:val="DefaultParagraphFont"/>
    <w:link w:val="Other10"/>
    <w:rsid w:val="00967E6F"/>
    <w:rPr>
      <w:rFonts w:ascii="Cambria" w:eastAsia="Cambria" w:hAnsi="Cambria" w:cs="Cambria"/>
    </w:rPr>
  </w:style>
  <w:style w:type="character" w:customStyle="1" w:styleId="Tablecaption1">
    <w:name w:val="Table caption|1_"/>
    <w:basedOn w:val="DefaultParagraphFont"/>
    <w:link w:val="Tablecaption10"/>
    <w:rsid w:val="00967E6F"/>
    <w:rPr>
      <w:rFonts w:ascii="Cambria" w:eastAsia="Cambria" w:hAnsi="Cambria" w:cs="Cambria"/>
      <w:b/>
    </w:rPr>
  </w:style>
  <w:style w:type="paragraph" w:customStyle="1" w:styleId="Bodytext20">
    <w:name w:val="Body text|2"/>
    <w:basedOn w:val="Normal"/>
    <w:link w:val="Bodytext2"/>
    <w:rsid w:val="00967E6F"/>
    <w:pPr>
      <w:widowControl w:val="0"/>
      <w:spacing w:after="0" w:line="240" w:lineRule="auto"/>
    </w:pPr>
    <w:rPr>
      <w:rFonts w:ascii="Verdana" w:eastAsia="Verdana" w:hAnsi="Verdana" w:cs="Verdana"/>
      <w:b/>
      <w:color w:val="0000FF"/>
      <w:kern w:val="2"/>
      <w:sz w:val="20"/>
      <w:szCs w:val="24"/>
      <w:lang w:val="en-US"/>
      <w14:ligatures w14:val="standardContextual"/>
    </w:rPr>
  </w:style>
  <w:style w:type="paragraph" w:customStyle="1" w:styleId="Other10">
    <w:name w:val="Other|1"/>
    <w:basedOn w:val="Normal"/>
    <w:link w:val="Other1"/>
    <w:rsid w:val="00967E6F"/>
    <w:pPr>
      <w:widowControl w:val="0"/>
      <w:spacing w:after="160" w:line="240" w:lineRule="auto"/>
    </w:pPr>
    <w:rPr>
      <w:rFonts w:ascii="Cambria" w:eastAsia="Cambria" w:hAnsi="Cambria" w:cs="Cambria"/>
      <w:kern w:val="2"/>
      <w:sz w:val="24"/>
      <w:szCs w:val="24"/>
      <w:lang w:val="en-US"/>
      <w14:ligatures w14:val="standardContextual"/>
    </w:rPr>
  </w:style>
  <w:style w:type="paragraph" w:customStyle="1" w:styleId="Tablecaption10">
    <w:name w:val="Table caption|1"/>
    <w:basedOn w:val="Normal"/>
    <w:link w:val="Tablecaption1"/>
    <w:rsid w:val="00967E6F"/>
    <w:pPr>
      <w:widowControl w:val="0"/>
      <w:spacing w:after="0" w:line="240" w:lineRule="auto"/>
      <w:jc w:val="center"/>
    </w:pPr>
    <w:rPr>
      <w:rFonts w:ascii="Cambria" w:eastAsia="Cambria" w:hAnsi="Cambria" w:cs="Cambria"/>
      <w:b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67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7E6F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customStyle="1" w:styleId="Default">
    <w:name w:val="Default"/>
    <w:rsid w:val="00967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GB"/>
      <w14:ligatures w14:val="none"/>
    </w:rPr>
  </w:style>
  <w:style w:type="paragraph" w:styleId="NoSpacing">
    <w:name w:val="No Spacing"/>
    <w:uiPriority w:val="1"/>
    <w:qFormat/>
    <w:rsid w:val="00EC1C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3B602D7DD1E47AB68471B0C27157E" ma:contentTypeVersion="6" ma:contentTypeDescription="Create a new document." ma:contentTypeScope="" ma:versionID="cde53de1d0c2c04345ee390afaeea452">
  <xsd:schema xmlns:xsd="http://www.w3.org/2001/XMLSchema" xmlns:xs="http://www.w3.org/2001/XMLSchema" xmlns:p="http://schemas.microsoft.com/office/2006/metadata/properties" xmlns:ns2="6d5be7ce-4ee0-42a7-bfc4-8140bbd694ac" xmlns:ns3="c37f3cbf-3973-49a6-9d74-11424b821e5b" xmlns:ns4="a755bd47-194b-437a-8731-9a4547ae1e0a" targetNamespace="http://schemas.microsoft.com/office/2006/metadata/properties" ma:root="true" ma:fieldsID="52e77a87857551723b131c22e4072d26" ns2:_="" ns3:_="" ns4:_="">
    <xsd:import namespace="6d5be7ce-4ee0-42a7-bfc4-8140bbd694ac"/>
    <xsd:import namespace="c37f3cbf-3973-49a6-9d74-11424b821e5b"/>
    <xsd:import namespace="a755bd47-194b-437a-8731-9a4547ae1e0a"/>
    <xsd:element name="properties">
      <xsd:complexType>
        <xsd:sequence>
          <xsd:element name="documentManagement">
            <xsd:complexType>
              <xsd:all>
                <xsd:element ref="ns2:ka85b414dd1c4f3fa08f1113ab6f3197" minOccurs="0"/>
                <xsd:element ref="ns3:TaxCatchAll" minOccurs="0"/>
                <xsd:element ref="ns2:_x039a__x03b1__x03c4__x03b7__x03b3__x03bf__x03c1__x03af__x03b1__x0020__x03b1__x03c1__x03c7__x03b5__x03af__x03bf__x03c5_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e7ce-4ee0-42a7-bfc4-8140bbd694ac" elementFormDefault="qualified">
    <xsd:import namespace="http://schemas.microsoft.com/office/2006/documentManagement/types"/>
    <xsd:import namespace="http://schemas.microsoft.com/office/infopath/2007/PartnerControls"/>
    <xsd:element name="ka85b414dd1c4f3fa08f1113ab6f3197" ma:index="9" nillable="true" ma:taxonomy="true" ma:internalName="ka85b414dd1c4f3fa08f1113ab6f3197" ma:taxonomyFieldName="_x039b__x03ad__x03be__x03b5__x03b9__x03c2__x0020__x039a__x03bb__x03b5__x03b9__x03b4__x03b9__x03ac_" ma:displayName="Λέξεις Κλειδιά" ma:default="" ma:fieldId="{4a85b414-dd1c-4f3f-a08f-1113ab6f3197}" ma:taxonomyMulti="true" ma:sspId="826fb243-af17-402d-8ee8-4e70c0557c5c" ma:termSetId="2347f57b-f623-4844-b76c-53e9e02b76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x039a__x03b1__x03c4__x03b7__x03b3__x03bf__x03c1__x03af__x03b1__x0020__x03b1__x03c1__x03c7__x03b5__x03af__x03bf__x03c5_" ma:index="11" nillable="true" ma:displayName="Κατηγορία αρχείου" ma:format="Dropdown" ma:internalName="_x039a__x03b1__x03c4__x03b7__x03b3__x03bf__x03c1__x03af__x03b1__x0020__x03b1__x03c1__x03c7__x03b5__x03af__x03bf__x03c5_">
      <xsd:simpleType>
        <xsd:restriction base="dms:Choice">
          <xsd:enumeration value="Εγκύκλιος"/>
          <xsd:enumeration value="Επιστολή"/>
          <xsd:enumeration value="Ενδοτμηματικό Σημείωμα"/>
          <xsd:enumeration value="Κατευθυντήριες Γραμμές"/>
          <xsd:enumeration value="Πρακτικά"/>
          <xsd:enumeration value="Εγχειρίδιο"/>
          <xsd:enumeration value="Παρουσίαση"/>
          <xsd:enumeration value="Έγγραφο ΕΕ"/>
          <xsd:enumeration value="Άλλα Έγγραφα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3cbf-3973-49a6-9d74-11424b821e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7b961d-ad65-44d1-8f9d-30061b8bd651}" ma:internalName="TaxCatchAll" ma:showField="CatchAllData" ma:web="c37f3cbf-3973-49a6-9d74-11424b82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bd47-194b-437a-8731-9a4547ae1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9a__x03b1__x03c4__x03b7__x03b3__x03bf__x03c1__x03af__x03b1__x0020__x03b1__x03c1__x03c7__x03b5__x03af__x03bf__x03c5_ xmlns="6d5be7ce-4ee0-42a7-bfc4-8140bbd694ac" xsi:nil="true"/>
    <ka85b414dd1c4f3fa08f1113ab6f3197 xmlns="6d5be7ce-4ee0-42a7-bfc4-8140bbd694ac">
      <Terms xmlns="http://schemas.microsoft.com/office/infopath/2007/PartnerControls"/>
    </ka85b414dd1c4f3fa08f1113ab6f3197>
    <TaxCatchAll xmlns="c37f3cbf-3973-49a6-9d74-11424b821e5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85BC-581B-4B9D-9C9A-D3685EEE7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93122-8C94-4CA2-8660-3D10BF21C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be7ce-4ee0-42a7-bfc4-8140bbd694ac"/>
    <ds:schemaRef ds:uri="c37f3cbf-3973-49a6-9d74-11424b821e5b"/>
    <ds:schemaRef ds:uri="a755bd47-194b-437a-8731-9a4547ae1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591FF-3943-495A-9475-5863AF9FB384}">
  <ds:schemaRefs>
    <ds:schemaRef ds:uri="http://schemas.microsoft.com/office/2006/metadata/properties"/>
    <ds:schemaRef ds:uri="http://schemas.microsoft.com/office/infopath/2007/PartnerControls"/>
    <ds:schemaRef ds:uri="6d5be7ce-4ee0-42a7-bfc4-8140bbd694ac"/>
    <ds:schemaRef ds:uri="c37f3cbf-3973-49a6-9d74-11424b821e5b"/>
  </ds:schemaRefs>
</ds:datastoreItem>
</file>

<file path=customXml/itemProps4.xml><?xml version="1.0" encoding="utf-8"?>
<ds:datastoreItem xmlns:ds="http://schemas.openxmlformats.org/officeDocument/2006/customXml" ds:itemID="{CE092D38-F736-492E-A247-9482EFE7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Paitari</dc:creator>
  <cp:keywords/>
  <dc:description/>
  <cp:lastModifiedBy>Christiana Georgallidou</cp:lastModifiedBy>
  <cp:revision>69</cp:revision>
  <cp:lastPrinted>2025-06-03T09:08:00Z</cp:lastPrinted>
  <dcterms:created xsi:type="dcterms:W3CDTF">2025-05-22T11:13:00Z</dcterms:created>
  <dcterms:modified xsi:type="dcterms:W3CDTF">2026-05-18T09:06:00Z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0x0101005373B602D7DD1E47AB68471B0C27157E</vt:lpwstr>
  </property>
  <property fmtid="{D5CDD505-2E9C-101B-9397-08002B2CF9AE}" pid="3" name="Λέξεις Κλειδιά">
    <vt:lpwstr/>
  </property>
</Properties>
</file>