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right="0"/>
        <w:jc w:val="left"/>
        <w:rPr>
          <w:rFonts w:ascii="Quattrocento Sans" w:cs="Quattrocento Sans" w:eastAsia="Quattrocento Sans" w:hAnsi="Quattrocento Sans"/>
          <w:color w:val="000000"/>
          <w:sz w:val="18"/>
          <w:szCs w:val="18"/>
        </w:rPr>
      </w:pPr>
      <w:bookmarkStart w:colFirst="0" w:colLast="0" w:name="_heading=h.lvl397qgvngq" w:id="0"/>
      <w:bookmarkEnd w:id="0"/>
      <w:r w:rsidDel="00000000" w:rsidR="00000000" w:rsidRPr="00000000">
        <w:rPr>
          <w:rFonts w:ascii="Calibri" w:cs="Calibri" w:eastAsia="Calibri" w:hAnsi="Calibri"/>
          <w:color w:val="1f4e79"/>
          <w:sz w:val="36"/>
          <w:szCs w:val="36"/>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right="0"/>
        <w:jc w:val="left"/>
        <w:rPr>
          <w:rFonts w:ascii="Quattrocento Sans" w:cs="Quattrocento Sans" w:eastAsia="Quattrocento Sans" w:hAnsi="Quattrocento Sans"/>
          <w:color w:val="000000"/>
          <w:sz w:val="18"/>
          <w:szCs w:val="18"/>
        </w:rPr>
      </w:pPr>
      <w:r w:rsidDel="00000000" w:rsidR="00000000" w:rsidRPr="00000000">
        <w:rPr>
          <w:rFonts w:ascii="Calibri" w:cs="Calibri" w:eastAsia="Calibri" w:hAnsi="Calibri"/>
          <w:color w:val="1f4e79"/>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right="0"/>
        <w:rPr>
          <w:rFonts w:ascii="Calibri" w:cs="Calibri" w:eastAsia="Calibri" w:hAnsi="Calibri"/>
          <w:b w:val="1"/>
          <w:color w:val="1f4e79"/>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right="0"/>
        <w:rPr>
          <w:rFonts w:ascii="Calibri" w:cs="Calibri" w:eastAsia="Calibri" w:hAnsi="Calibri"/>
          <w:b w:val="1"/>
          <w:color w:val="1f4e79"/>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18"/>
          <w:szCs w:val="18"/>
        </w:rPr>
      </w:pPr>
      <w:r w:rsidDel="00000000" w:rsidR="00000000" w:rsidRPr="00000000">
        <w:rPr>
          <w:rFonts w:ascii="Calibri" w:cs="Calibri" w:eastAsia="Calibri" w:hAnsi="Calibri"/>
          <w:b w:val="1"/>
          <w:color w:val="1f4e79"/>
          <w:sz w:val="32"/>
          <w:szCs w:val="32"/>
          <w:rtl w:val="0"/>
        </w:rPr>
        <w:t xml:space="preserve">Εκστρατεία Safe2Eat 2025: Ενίσχυση της εμπιστοσύνης των καταναλωτών στην ασφάλεια τροφίμων στην ΕΕ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18"/>
          <w:szCs w:val="18"/>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Η EFSA και οι εταίροι της σε όλη την Ευρώπη επιστρέφουν με το Safe2Eat 2025, διευρύνοντας την εμβέλειά του και αυξάνοντας τη δέσμευση έναντι των πολιτών</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Η εκστρατεία, που συμπληρώνει φέτος πέντε χρόνια, έχει ως στόχο να παρέχει στους καταναλωτές σαφή, επιστημονικά τεκμηριωμένα στοιχεία και συμβουλές για την ασφάλεια των τροφίμων, ώστε να τους βοηθήσει να κάνουν συνειδητές επιλογές όσον αφορά τα τρόφιμα.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Λευκωσία, 2 Απριλίου 2025</w:t>
      </w:r>
      <w:r w:rsidDel="00000000" w:rsidR="00000000" w:rsidRPr="00000000">
        <w:rPr>
          <w:rFonts w:ascii="Calibri" w:cs="Calibri" w:eastAsia="Calibri" w:hAnsi="Calibri"/>
          <w:sz w:val="24"/>
          <w:szCs w:val="24"/>
          <w:rtl w:val="0"/>
        </w:rPr>
        <w:t xml:space="preserve"> - Μετά την μεγάλη επιτυχία της περσινής </w:t>
      </w:r>
      <w:r w:rsidDel="00000000" w:rsidR="00000000" w:rsidRPr="00000000">
        <w:rPr>
          <w:rFonts w:ascii="Calibri" w:cs="Calibri" w:eastAsia="Calibri" w:hAnsi="Calibri"/>
          <w:b w:val="1"/>
          <w:sz w:val="24"/>
          <w:szCs w:val="24"/>
          <w:rtl w:val="0"/>
        </w:rPr>
        <w:t xml:space="preserve">εκστρατείας Safe2Eat</w:t>
      </w:r>
      <w:r w:rsidDel="00000000" w:rsidR="00000000" w:rsidRPr="00000000">
        <w:rPr>
          <w:rFonts w:ascii="Calibri" w:cs="Calibri" w:eastAsia="Calibri" w:hAnsi="Calibri"/>
          <w:sz w:val="24"/>
          <w:szCs w:val="24"/>
          <w:rtl w:val="0"/>
        </w:rPr>
        <w:t xml:space="preserve">, η Ευρωπαϊκή Αρχή για την Ασφάλεια των Τροφίμων (EFSA) και οι εθνικοί εταίροι της σε όλη την Ευρώπη ανακοινώνουν την έναρξη της εκστρατείας για το 2025 με ευρύτερη εμβέλεια και μακροπρόθεσμη δέσμευση για την ενδυνάμωση των καταναλωτών παρέχοντας σαφείς και επιστημονικά τεκμηριωμένες πληροφορίες για την ασφάλεια των τροφίμων. Φέτος, η εκστρατεία επεκτείνεται σε </w:t>
      </w:r>
      <w:r w:rsidDel="00000000" w:rsidR="00000000" w:rsidRPr="00000000">
        <w:rPr>
          <w:rFonts w:ascii="Calibri" w:cs="Calibri" w:eastAsia="Calibri" w:hAnsi="Calibri"/>
          <w:b w:val="1"/>
          <w:sz w:val="24"/>
          <w:szCs w:val="24"/>
          <w:rtl w:val="0"/>
        </w:rPr>
        <w:t xml:space="preserve">23 χώρες</w:t>
      </w:r>
      <w:r w:rsidDel="00000000" w:rsidR="00000000" w:rsidRPr="00000000">
        <w:rPr>
          <w:rFonts w:ascii="Calibri" w:cs="Calibri" w:eastAsia="Calibri" w:hAnsi="Calibri"/>
          <w:sz w:val="24"/>
          <w:szCs w:val="24"/>
          <w:rtl w:val="0"/>
        </w:rPr>
        <w:t xml:space="preserve">, από 18 που ήταν το 2024, κι έτσι επιτυγχάνει ένα σημαντικό ορόσημο όσον αφορά την αποστολή της να βοηθήσει περισσότερους Ευρωπαίους να επιλέγουν τα τρόφιμά τους με σιγουριά για την ασφάλειά τους.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Οι συμμετέχουσες χώρες για το 2025 είναι η Αλβανία, η Αυστρία, το Βέλγιο, η Βόρεια Μακεδονία, η Βοσνία-Ερζεγοβίνη, η Ελλάδα, η Εσθονία, η Ιρλανδία, η Ισπανία, η Ιταλία, η Κροατία, η Κύπρος, η Λετονία, το Λουξεμβούργο, το Μαυροβούνιο, η Νορβηγία, η Ουγγαρία, η Πολωνία, η Ρουμανία, η Σλοβακία, η Τουρκία, η Τσεχία και η Φινλανδία.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right="0"/>
        <w:rPr>
          <w:rFonts w:ascii="Calibri" w:cs="Calibri" w:eastAsia="Calibri" w:hAnsi="Calibri"/>
          <w:color w:val="000000"/>
          <w:sz w:val="24"/>
          <w:szCs w:val="24"/>
        </w:rPr>
      </w:pPr>
      <w:r w:rsidDel="00000000" w:rsidR="00000000" w:rsidRPr="00000000">
        <w:rPr>
          <w:rFonts w:ascii="Calibri" w:cs="Calibri" w:eastAsia="Calibri" w:hAnsi="Calibri"/>
          <w:b w:val="1"/>
          <w:color w:val="1f4e79"/>
          <w:sz w:val="24"/>
          <w:szCs w:val="24"/>
          <w:rtl w:val="0"/>
        </w:rPr>
        <w:t xml:space="preserve">Μεγαλύτερη εμβέλεια, αλλαγή νοοτροπιών: τα μεγάλα επιτεύγματα της εκστρατείας του 2024</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Η εκστρατεία Safe2Eat πέτυχε νέο ρεκόρ απήχησης το 2024. Σύμφωνα με έρευνα της Ipsos που διεξήχθη τον Δεκέμβριο, </w:t>
      </w:r>
      <w:r w:rsidDel="00000000" w:rsidR="00000000" w:rsidRPr="00000000">
        <w:rPr>
          <w:rFonts w:ascii="Calibri" w:cs="Calibri" w:eastAsia="Calibri" w:hAnsi="Calibri"/>
          <w:b w:val="1"/>
          <w:sz w:val="24"/>
          <w:szCs w:val="24"/>
          <w:rtl w:val="0"/>
        </w:rPr>
        <w:t xml:space="preserve">η εκστρατεία προσέγγισε πάνω από το 45% των καταναλωτών στους οποίους απευθυνόταν σε όλη την Ευρώπη</w:t>
      </w:r>
      <w:r w:rsidDel="00000000" w:rsidR="00000000" w:rsidRPr="00000000">
        <w:rPr>
          <w:rFonts w:ascii="Calibri" w:cs="Calibri" w:eastAsia="Calibri" w:hAnsi="Calibri"/>
          <w:sz w:val="24"/>
          <w:szCs w:val="24"/>
          <w:rtl w:val="0"/>
        </w:rPr>
        <w:t xml:space="preserve">, σημειώνοντας σημαντική αύξηση από το 19% του 2023. Η εκστρατεία Safe2Eat, μέσω ενός συνδυασμού προβολής στα μέσα κοινωνικής δικτύωσης, συνεργασιών με άτομα επιρροής (influencers) και στοχευμένων πρωτοβουλιών στα Mέσα Eνημέρωσης, απευθύνθηκε με επιτυχία σε εκατομμύρια Ευρωπαίους, ενισχύοντας τη σημασία της ασφάλειας των τροφίμων στις καθημερινές τους αποφάσεις.</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Η εκστρατεία επηρέασε επίσης τη νοοτροπία των καταναλωτών. Τα αποτελέσματα της έρευνας έδειξαν ότι όσοι έλαβαν ενημέρωση μέσα από την εκστρατεία ήταν πιο πιθανό να </w:t>
      </w:r>
      <w:r w:rsidDel="00000000" w:rsidR="00000000" w:rsidRPr="00000000">
        <w:rPr>
          <w:rFonts w:ascii="Calibri" w:cs="Calibri" w:eastAsia="Calibri" w:hAnsi="Calibri"/>
          <w:b w:val="1"/>
          <w:sz w:val="24"/>
          <w:szCs w:val="24"/>
          <w:rtl w:val="0"/>
        </w:rPr>
        <w:t xml:space="preserve">λάβουν υπόψη τους την ασφάλεια κατά την αγορά τροφίμων.</w:t>
      </w:r>
      <w:r w:rsidDel="00000000" w:rsidR="00000000" w:rsidRPr="00000000">
        <w:rPr>
          <w:rFonts w:ascii="Calibri" w:cs="Calibri" w:eastAsia="Calibri" w:hAnsi="Calibri"/>
          <w:sz w:val="24"/>
          <w:szCs w:val="24"/>
          <w:rtl w:val="0"/>
        </w:rPr>
        <w:t xml:space="preserve"> Επιπλέον, σημειώθηκε αξιοσημείωτη </w:t>
      </w:r>
      <w:r w:rsidDel="00000000" w:rsidR="00000000" w:rsidRPr="00000000">
        <w:rPr>
          <w:rFonts w:ascii="Calibri" w:cs="Calibri" w:eastAsia="Calibri" w:hAnsi="Calibri"/>
          <w:b w:val="1"/>
          <w:sz w:val="24"/>
          <w:szCs w:val="24"/>
          <w:rtl w:val="0"/>
        </w:rPr>
        <w:t xml:space="preserve">μείωση του ποσοστού της εντύπωσης ότι οι πληροφορίες για την ασφάλεια των τροφίμων είναι υπερβολικά τεχνικές ή πολύπλοκες</w:t>
      </w:r>
      <w:r w:rsidDel="00000000" w:rsidR="00000000" w:rsidRPr="00000000">
        <w:rPr>
          <w:rFonts w:ascii="Calibri" w:cs="Calibri" w:eastAsia="Calibri" w:hAnsi="Calibri"/>
          <w:sz w:val="24"/>
          <w:szCs w:val="24"/>
          <w:rtl w:val="0"/>
        </w:rPr>
        <w:t xml:space="preserve">, με τους ερωτηθέντες να αναφέρουν ότι πλέον γνωρίζουν περισσότερα για την πρόληψη κινδύνων σχετικά με τα τρόφιμα.</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2">
      <w:pPr>
        <w:spacing w:after="160" w:line="259" w:lineRule="auto"/>
        <w:rPr>
          <w:rFonts w:ascii="Calibri" w:cs="Calibri" w:eastAsia="Calibri" w:hAnsi="Calibri"/>
          <w:b w:val="1"/>
          <w:color w:val="1f4e79"/>
          <w:sz w:val="24"/>
          <w:szCs w:val="24"/>
        </w:rPr>
      </w:pPr>
      <w:r w:rsidDel="00000000" w:rsidR="00000000" w:rsidRPr="00000000">
        <w:rPr>
          <w:rFonts w:ascii="Calibri" w:cs="Calibri" w:eastAsia="Calibri" w:hAnsi="Calibri"/>
          <w:b w:val="1"/>
          <w:color w:val="1f4e79"/>
          <w:sz w:val="24"/>
          <w:szCs w:val="24"/>
          <w:rtl w:val="0"/>
        </w:rPr>
        <w:t xml:space="preserve">Τι θα αλλάξει το 2025;</w:t>
      </w:r>
    </w:p>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Με βάση τα επιτεύγματα του περασμένου έτους, το 2025 η εκστρατεία Safe2Eat στοχεύει να αυξήσει την απήχησή της με το να:</w:t>
      </w:r>
    </w:p>
    <w:p w:rsidR="00000000" w:rsidDel="00000000" w:rsidP="00000000" w:rsidRDefault="00000000" w:rsidRPr="00000000" w14:paraId="00000014">
      <w:pPr>
        <w:numPr>
          <w:ilvl w:val="0"/>
          <w:numId w:val="1"/>
        </w:numPr>
        <w:spacing w:after="16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Επεκτείνεται σε 23 χώρες</w:t>
      </w:r>
      <w:r w:rsidDel="00000000" w:rsidR="00000000" w:rsidRPr="00000000">
        <w:rPr>
          <w:rFonts w:ascii="Calibri" w:cs="Calibri" w:eastAsia="Calibri" w:hAnsi="Calibri"/>
          <w:sz w:val="24"/>
          <w:szCs w:val="24"/>
          <w:rtl w:val="0"/>
        </w:rPr>
        <w:t xml:space="preserve">, με την συμπερίληψη της συμμετοχής πέντε νέων χωρών, διευρύνοντας περαιτέρω την εμβέλειά της και την συμμετοχή σε αυτή σε όλη την Ευρώπη. </w:t>
      </w:r>
    </w:p>
    <w:p w:rsidR="00000000" w:rsidDel="00000000" w:rsidP="00000000" w:rsidRDefault="00000000" w:rsidRPr="00000000" w14:paraId="00000015">
      <w:pPr>
        <w:numPr>
          <w:ilvl w:val="0"/>
          <w:numId w:val="1"/>
        </w:numPr>
        <w:spacing w:after="16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Ασχολείται με βασικές ανησυχίες των καταναλωτών</w:t>
      </w:r>
      <w:r w:rsidDel="00000000" w:rsidR="00000000" w:rsidRPr="00000000">
        <w:rPr>
          <w:rFonts w:ascii="Calibri" w:cs="Calibri" w:eastAsia="Calibri" w:hAnsi="Calibri"/>
          <w:sz w:val="24"/>
          <w:szCs w:val="24"/>
          <w:rtl w:val="0"/>
        </w:rPr>
        <w:t xml:space="preserve"> σχετικά με την ασφάλεια των τροφίμων, όπως για τον ρόλο της επιστήμης στη διασφάλιση ασφαλών τροφίμων, τη σημασία της σαφούς επισήμανσης των τροφίμων και τα οφέλη από τη μείωση της σπατάλης τροφίμων.</w:t>
      </w:r>
    </w:p>
    <w:p w:rsidR="00000000" w:rsidDel="00000000" w:rsidP="00000000" w:rsidRDefault="00000000" w:rsidRPr="00000000" w14:paraId="00000016">
      <w:pPr>
        <w:numPr>
          <w:ilvl w:val="0"/>
          <w:numId w:val="1"/>
        </w:numPr>
        <w:spacing w:after="16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Βελτιώνει την προσβασιμότητα</w:t>
      </w:r>
      <w:r w:rsidDel="00000000" w:rsidR="00000000" w:rsidRPr="00000000">
        <w:rPr>
          <w:rFonts w:ascii="Calibri" w:cs="Calibri" w:eastAsia="Calibri" w:hAnsi="Calibri"/>
          <w:sz w:val="24"/>
          <w:szCs w:val="24"/>
          <w:rtl w:val="0"/>
        </w:rPr>
        <w:t xml:space="preserve"> στις πληροφορίες για την ασφάλεια των τροφίμων μέσω νέων, εύκολα κατανοητών  πηγών ενημέρωσης, προσαρμοσμένων σε διαφορετικά δημογραφικά και πολιτισμικά πλαίσια.</w:t>
      </w:r>
    </w:p>
    <w:p w:rsidR="00000000" w:rsidDel="00000000" w:rsidP="00000000" w:rsidRDefault="00000000" w:rsidRPr="00000000" w14:paraId="00000017">
      <w:pPr>
        <w:spacing w:after="160" w:line="259" w:lineRule="auto"/>
        <w:ind w:right="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0" w:lineRule="auto"/>
        <w:ind w:right="0"/>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Ο Υπουργός Υγείας, Μιχάλης Δαμιανός, χαιρετίζοντας την έναρξη της εκστρατείας Safe2Eat για 4</w:t>
      </w:r>
      <w:r w:rsidDel="00000000" w:rsidR="00000000" w:rsidRPr="00000000">
        <w:rPr>
          <w:rFonts w:ascii="Calibri" w:cs="Calibri" w:eastAsia="Calibri" w:hAnsi="Calibri"/>
          <w:color w:val="000000"/>
          <w:sz w:val="24"/>
          <w:szCs w:val="24"/>
          <w:highlight w:val="white"/>
          <w:vertAlign w:val="superscript"/>
          <w:rtl w:val="0"/>
        </w:rPr>
        <w:t xml:space="preserve">η</w:t>
      </w:r>
      <w:r w:rsidDel="00000000" w:rsidR="00000000" w:rsidRPr="00000000">
        <w:rPr>
          <w:rFonts w:ascii="Calibri" w:cs="Calibri" w:eastAsia="Calibri" w:hAnsi="Calibri"/>
          <w:color w:val="000000"/>
          <w:sz w:val="24"/>
          <w:szCs w:val="24"/>
          <w:highlight w:val="white"/>
          <w:rtl w:val="0"/>
        </w:rPr>
        <w:t xml:space="preserve"> συνεχή χρονιά στην Κύπρο, υπογράμμισε, μεταξύ άλλων, ότι αυτή συμβάλλει ενεργά στην ενημέρωση και ευαισθητοποίηση του καταναλωτή,  την ενεργοποίηση κριτικής σκέψης και την ενδυνάμωση του αισθήματος σιγουριάς, τονίζοντας ότι πίσω από την ποιότητα και ασφάλεια των τροφίμων βρίσκεται η επιστήμη. Συνέχισε αναφέροντας ότι «Οι αρμόδιες Υπηρεσίες ασφάλειας τροφίμων του Υπουργείου Υγείας και άλλων συναρμόδιων Υπουργείων, μέσα από τα επίσημα προγράμματα ελέγχου-παρακολούθησης και επιτήρησης της ποιότητας και ασφάλειας των τροφίμων που κυκλοφορούν στην Κυπριακή αγορά, επικεντρώνονται στον έλεγχο της συμμόρφωσης με τις αυστηρές νομοθεσίες και τα υψηλά πρότυπα της ΕΕ, συμβάλλοντας στον έγκαιρο εντοπισμό ακατάλληλων τροφίμων στην αγορά και στην αντιμετώπιση αναδυόμενων διατροφικών κινδύνων. Η διασφάλιση ποιοτικών και ασφαλών τροφίμων είναι σημαντικός παράγοντας της πρόληψης της Δημόσιας Υγείας, η οποία αποτελεί ύψιστη προτεραιότητα του Υπουργείου Υγείας και Πολιτική της Κυβέρνησης στον Τομέα της Υγείας».</w:t>
      </w:r>
    </w:p>
    <w:p w:rsidR="00000000" w:rsidDel="00000000" w:rsidP="00000000" w:rsidRDefault="00000000" w:rsidRPr="00000000" w14:paraId="00000019">
      <w:pPr>
        <w:spacing w:after="160" w:line="259" w:lineRule="auto"/>
        <w:rPr>
          <w:rFonts w:ascii="Calibri" w:cs="Calibri" w:eastAsia="Calibri" w:hAnsi="Calibri"/>
          <w:strike w:val="1"/>
          <w:sz w:val="24"/>
          <w:szCs w:val="24"/>
          <w:highlight w:val="yellow"/>
        </w:rPr>
      </w:pP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color w:val="000000"/>
          <w:sz w:val="24"/>
          <w:szCs w:val="24"/>
          <w:highlight w:val="white"/>
        </w:rPr>
      </w:pPr>
      <w:bookmarkStart w:colFirst="0" w:colLast="0" w:name="_heading=h.6b82zkc3oajp" w:id="1"/>
      <w:bookmarkEnd w:id="1"/>
      <w:r w:rsidDel="00000000" w:rsidR="00000000" w:rsidRPr="00000000">
        <w:rPr>
          <w:rFonts w:ascii="Calibri" w:cs="Calibri" w:eastAsia="Calibri" w:hAnsi="Calibri"/>
          <w:color w:val="000000"/>
          <w:sz w:val="24"/>
          <w:szCs w:val="24"/>
          <w:highlight w:val="white"/>
          <w:rtl w:val="0"/>
        </w:rPr>
        <w:t xml:space="preserve">Σε δήλωσή της για την εκστρατεία, η Υπουργός Γεωργίας, Αγροτικής Ανάπτυξης και Περιβάλλοντος, Δρ Μαρία Παναγιώτου ανέφερε:  «Η ασφάλεια των τροφίμων μας αφορά όλους γιατί είναι θέμα υγείας. Για αυτό και χαιρετίζω την έναρξη της εκστρατείας Safe2Eat, μέσα από την οποία οι πολίτες αποκτούν πρόσβαση σε απλές, πρακτικές πληροφορίες για τον ορθό χειρισμό των τροφίμων και για τις ασθένειες που μπορεί προκληθούν από την κατανάλωση ακατάλληλων ειδών. Ο ενημερωμένος καταναλωτής είναι ο πιο ισχυρός μας σύμμαχος για τη  δημόσια υγεία. Γι’ αυτό στο Υπουργείο ΓΑΑΠ δίδουμε προτεραιότητα στην εκπαίδευση και ευαισθητοποίηση των καταναλωτών σε θέματα ασφάλειας τροφίμων- γιατί η πρόληψη ξεκινά από τη γνώση. Προς το σκοπό αυτό, οι Κτηνιατρικές Υπηρεσίες, ως το αρμόδιο Τμήμα του Υπουργείου ΓΑΑΠ για την ασφάλεια των τροφίμων, διασφαλίζουν ότι τα τρόφιμα ζωικής προέλευσης που φτάνουν στην αγορά είναι ασφαλή και υψηλής ποιότητας. Μέσα από τη διενέργεια αυστηρών και συστηματικών ελέγχων σε όλα τα στάδια της τροφικής αλυσίδας, από τη φάρμα έως και το τραπέζι του καταναλωτή, και με τη σωστή πληροφόρηση στον καταναλωτή, ενισχύουμε την ασφάλεια και προστατεύουμε την υγεία των πολιτών μας.Θερμά συγχαρητήρια στην Ευρωπαϊκή Αρχή Ασφάλειας Τροφίμων για αυτή την ουσιαστική πρωτοβουλία, αλλά και για τη διαχρονική συμβολή της στην ενίσχυση της διατροφικής ασφάλειας. Η ενημέρωση είναι πρόληψη και η πρόληψη ασπίδα για την προστασία της ανθρώπινης ζωής και υγείας».</w:t>
      </w:r>
    </w:p>
    <w:p w:rsidR="00000000" w:rsidDel="00000000" w:rsidP="00000000" w:rsidRDefault="00000000" w:rsidRPr="00000000" w14:paraId="0000001B">
      <w:pPr>
        <w:spacing w:after="160" w:line="259" w:lineRule="auto"/>
        <w:rPr>
          <w:rFonts w:ascii="Calibri" w:cs="Calibri" w:eastAsia="Calibri" w:hAnsi="Calibri"/>
          <w:color w:val="000000"/>
          <w:sz w:val="24"/>
          <w:szCs w:val="24"/>
          <w:highlight w:val="green"/>
        </w:rPr>
      </w:pPr>
      <w:bookmarkStart w:colFirst="0" w:colLast="0" w:name="_heading=h.3o6ou1tfpjmu" w:id="2"/>
      <w:bookmarkEnd w:id="2"/>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b w:val="1"/>
          <w:color w:val="1f4e79"/>
          <w:sz w:val="24"/>
          <w:szCs w:val="24"/>
        </w:rPr>
      </w:pPr>
      <w:bookmarkStart w:colFirst="0" w:colLast="0" w:name="_heading=h.1wvdr616qng3" w:id="3"/>
      <w:bookmarkEnd w:id="3"/>
      <w:r w:rsidDel="00000000" w:rsidR="00000000" w:rsidRPr="00000000">
        <w:rPr>
          <w:rFonts w:ascii="Calibri" w:cs="Calibri" w:eastAsia="Calibri" w:hAnsi="Calibri"/>
          <w:b w:val="1"/>
          <w:color w:val="1f4e79"/>
          <w:sz w:val="24"/>
          <w:szCs w:val="24"/>
          <w:rtl w:val="0"/>
        </w:rPr>
        <w:t xml:space="preserve">Η EFSA δεσμεύεται για μακροπρόθεσμη επιτυχία</w:t>
      </w:r>
    </w:p>
    <w:p w:rsidR="00000000" w:rsidDel="00000000" w:rsidP="00000000" w:rsidRDefault="00000000" w:rsidRPr="00000000" w14:paraId="0000001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«Δεδομένου ότι</w:t>
      </w:r>
      <w:r w:rsidDel="00000000" w:rsidR="00000000" w:rsidRPr="00000000">
        <w:rPr>
          <w:rFonts w:ascii="Calibri" w:cs="Calibri" w:eastAsia="Calibri" w:hAnsi="Calibri"/>
          <w:i w:val="1"/>
          <w:sz w:val="24"/>
          <w:szCs w:val="24"/>
          <w:rtl w:val="0"/>
        </w:rPr>
        <w:t xml:space="preserve"> οι Ευρωπαίοι καταναλωτές καλούνται να διαχειριστούν ένα πολύπλοκο επισιτιστικό τοπίο, είναι σημαντικό να αισθάνονται ότι έχουν τη δυνατότητα να κάνουν τεκμηριωμένες επιλογές»</w:t>
      </w:r>
      <w:r w:rsidDel="00000000" w:rsidR="00000000" w:rsidRPr="00000000">
        <w:rPr>
          <w:rFonts w:ascii="Calibri" w:cs="Calibri" w:eastAsia="Calibri" w:hAnsi="Calibri"/>
          <w:sz w:val="24"/>
          <w:szCs w:val="24"/>
          <w:rtl w:val="0"/>
        </w:rPr>
        <w:t xml:space="preserve">, δήλωσε ο εκτελεστικός διευθυντής της EFSA, Bernhard Url. </w:t>
      </w:r>
      <w:r w:rsidDel="00000000" w:rsidR="00000000" w:rsidRPr="00000000">
        <w:rPr>
          <w:rFonts w:ascii="Calibri" w:cs="Calibri" w:eastAsia="Calibri" w:hAnsi="Calibri"/>
          <w:i w:val="1"/>
          <w:sz w:val="24"/>
          <w:szCs w:val="24"/>
          <w:rtl w:val="0"/>
        </w:rPr>
        <w:t xml:space="preserve">«Η εκστρατεία Safe2Eat γεφυρώνει το χάσμα μεταξύ της επιστήμης για την ασφάλεια των τροφίμων και των καθημερινών αποφάσεων, παρέχοντας σαφείς και πρακτικές πληροφορίες που ενισχύουν την εμπιστοσύνη των καταναλωτών</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Με την επέκτασή της σε ακόμη περισσότερες χώρες το 2025, κάνουμε άλλο ένα βήμα μπροστά διασφαλίζοντας ότι κάθε Ευρωπαίος πολίτης έχει πρόσβαση σε αξιόπιστες, επιστημονικά τεκμηριωμένες συμβουλές για την ασφάλεια των τροφίμων</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E">
      <w:pPr>
        <w:spacing w:after="160" w:line="259" w:lineRule="auto"/>
        <w:rPr>
          <w:rFonts w:ascii="Calibri" w:cs="Calibri" w:eastAsia="Calibri" w:hAnsi="Calibri"/>
          <w:b w:val="1"/>
          <w:color w:val="1f4e79"/>
          <w:sz w:val="24"/>
          <w:szCs w:val="24"/>
        </w:rPr>
      </w:pPr>
      <w:r w:rsidDel="00000000" w:rsidR="00000000" w:rsidRPr="00000000">
        <w:rPr>
          <w:rFonts w:ascii="Calibri" w:cs="Calibri" w:eastAsia="Calibri" w:hAnsi="Calibri"/>
          <w:b w:val="1"/>
          <w:color w:val="1f4e79"/>
          <w:sz w:val="24"/>
          <w:szCs w:val="24"/>
          <w:rtl w:val="0"/>
        </w:rPr>
        <w:t xml:space="preserve">Λάβετε μέρος</w:t>
      </w:r>
    </w:p>
    <w:p w:rsidR="00000000" w:rsidDel="00000000" w:rsidP="00000000" w:rsidRDefault="00000000" w:rsidRPr="00000000" w14:paraId="0000001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Καθ’ όλη τη διάρκεια της χρονιάς θα πραγματοποιηθεί ένας μεγάλος αριθμός πρωτοβουλιών της Safe2Eat τόσο σε επίπεδο ΕΕ όσο και σε εθνικό επίπεδο. Προτρέπουμε τους καταναλωτές να επισκεφθούν τον επίσημο </w:t>
      </w:r>
      <w:hyperlink r:id="rId7">
        <w:r w:rsidDel="00000000" w:rsidR="00000000" w:rsidRPr="00000000">
          <w:rPr>
            <w:rFonts w:ascii="Calibri" w:cs="Calibri" w:eastAsia="Calibri" w:hAnsi="Calibri"/>
            <w:sz w:val="24"/>
            <w:szCs w:val="24"/>
            <w:rtl w:val="0"/>
          </w:rPr>
          <w:t xml:space="preserve">ιστότοπο</w:t>
        </w:r>
      </w:hyperlink>
      <w:hyperlink r:id="rId8">
        <w:r w:rsidDel="00000000" w:rsidR="00000000" w:rsidRPr="00000000">
          <w:rPr>
            <w:rFonts w:ascii="Calibri" w:cs="Calibri" w:eastAsia="Calibri" w:hAnsi="Calibri"/>
            <w:color w:val="0563c1"/>
            <w:sz w:val="24"/>
            <w:szCs w:val="24"/>
            <w:rtl w:val="0"/>
          </w:rPr>
          <w:t xml:space="preserve"> </w:t>
        </w:r>
      </w:hyperlink>
      <w:hyperlink r:id="rId9">
        <w:r w:rsidDel="00000000" w:rsidR="00000000" w:rsidRPr="00000000">
          <w:rPr>
            <w:rFonts w:ascii="Calibri" w:cs="Calibri" w:eastAsia="Calibri" w:hAnsi="Calibri"/>
            <w:color w:val="000000"/>
            <w:sz w:val="24"/>
            <w:szCs w:val="24"/>
            <w:rtl w:val="0"/>
          </w:rPr>
          <w:t xml:space="preserve">της εκστρατείας</w:t>
        </w:r>
      </w:hyperlink>
      <w:r w:rsidDel="00000000" w:rsidR="00000000" w:rsidRPr="00000000">
        <w:rPr>
          <w:rFonts w:ascii="Calibri" w:cs="Calibri" w:eastAsia="Calibri" w:hAnsi="Calibri"/>
          <w:sz w:val="24"/>
          <w:szCs w:val="24"/>
          <w:rtl w:val="0"/>
        </w:rPr>
        <w:t xml:space="preserve">, να εξερευνήσουν το εκπαιδευτικό υλικό και να αλληλεπιδράσουν με το περιεχόμενο της εκστρατείας στα μέσα κοινωνικής δικτύωσης χρησιμοποιώντας το #Safe2EatEU.</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right="0"/>
        <w:rPr>
          <w:rFonts w:ascii="Calibri" w:cs="Calibri" w:eastAsia="Calibri" w:hAnsi="Calibri"/>
          <w:b w:val="1"/>
          <w:color w:val="1f4e79"/>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1f4e79"/>
          <w:sz w:val="24"/>
          <w:szCs w:val="24"/>
        </w:rPr>
      </w:pPr>
      <w:r w:rsidDel="00000000" w:rsidR="00000000" w:rsidRPr="00000000">
        <w:rPr>
          <w:rFonts w:ascii="Calibri" w:cs="Calibri" w:eastAsia="Calibri" w:hAnsi="Calibri"/>
          <w:b w:val="1"/>
          <w:color w:val="1f4e79"/>
          <w:sz w:val="24"/>
          <w:szCs w:val="24"/>
          <w:rtl w:val="0"/>
        </w:rPr>
        <w:t xml:space="preserve">Σχετικά με την EFSA</w:t>
      </w:r>
      <w:r w:rsidDel="00000000" w:rsidR="00000000" w:rsidRPr="00000000">
        <w:rPr>
          <w:rFonts w:ascii="Calibri" w:cs="Calibri" w:eastAsia="Calibri" w:hAnsi="Calibri"/>
          <w:color w:val="1f4e79"/>
          <w:sz w:val="24"/>
          <w:szCs w:val="24"/>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Η Ευρωπαϊκή Αρχή για την Ασφάλεια των Τροφίμων (EFSA) είναι ένας Οργανισμός της Ευρωπαϊκής Ένωσης που ιδρύθηκε το 2002 για να λειτουργεί ως αμερόληπτη πηγή επιστημονικών συμβουλών για τους υπεύθυνους διαχείρισης κινδύνων και να ενημερώνει σχετικά με τους κινδύνους που συνδέονται με την τροφική αλυσίδα.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right="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Παρέχει την επιστημονική βάση για νομοθετικές και κανονιστικές διατάξεις με σκοπό την προστασία των Ευρωπαίων καταναλωτών από κινδύνους που σχετίζονται με τα τρόφιμα και συνεργάζεται με εθνικούς εταίρους για την προώθηση της συνοχής των πληροφοριών για το κοινό σχετικά με την ασφάλεια των τροφίμων στην ΕΕ.</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right="0"/>
        <w:rPr>
          <w:rFonts w:ascii="Calibri" w:cs="Calibri" w:eastAsia="Calibri" w:hAnsi="Calibri"/>
          <w:sz w:val="24"/>
          <w:szCs w:val="24"/>
          <w:highlight w:val="white"/>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right="0"/>
        <w:jc w:val="lef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134" w:top="2217" w:left="1701" w:right="851" w:header="686"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76" w:lineRule="auto"/>
      <w:ind w:right="0"/>
      <w:jc w:val="left"/>
      <w:rPr/>
    </w:pPr>
    <w:r w:rsidDel="00000000" w:rsidR="00000000" w:rsidRPr="00000000">
      <w:rPr>
        <w:rtl w:val="0"/>
      </w:rPr>
    </w:r>
  </w:p>
  <w:tbl>
    <w:tblPr>
      <w:tblStyle w:val="Table1"/>
      <w:tblW w:w="8505.0" w:type="dxa"/>
      <w:jc w:val="left"/>
      <w:tblBorders>
        <w:top w:color="bfbfbf"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5"/>
      <w:tblGridChange w:id="0">
        <w:tblGrid>
          <w:gridCol w:w="8505"/>
        </w:tblGrid>
      </w:tblGridChange>
    </w:tblGrid>
    <w:tr>
      <w:trPr>
        <w:cantSplit w:val="0"/>
        <w:tblHeader w:val="0"/>
      </w:trPr>
      <w:tc>
        <w:tcPr>
          <w:tcBorders>
            <w:top w:color="bfbfb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ind w:right="0"/>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76" w:lineRule="auto"/>
      <w:ind w:right="0"/>
      <w:jc w:val="left"/>
      <w:rPr/>
    </w:pPr>
    <w:r w:rsidDel="00000000" w:rsidR="00000000" w:rsidRPr="00000000">
      <w:rPr>
        <w:rtl w:val="0"/>
      </w:rPr>
    </w:r>
  </w:p>
  <w:tbl>
    <w:tblPr>
      <w:tblStyle w:val="Table2"/>
      <w:tblW w:w="8505.0" w:type="dxa"/>
      <w:jc w:val="left"/>
      <w:tblBorders>
        <w:top w:color="bfbfbf"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5"/>
      <w:tblGridChange w:id="0">
        <w:tblGrid>
          <w:gridCol w:w="8505"/>
        </w:tblGrid>
      </w:tblGridChange>
    </w:tblGrid>
    <w:tr>
      <w:trPr>
        <w:cantSplit w:val="0"/>
        <w:tblHeader w:val="0"/>
      </w:trPr>
      <w:tc>
        <w:tcPr>
          <w:tcBorders>
            <w:top w:color="bfbfbf"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ind w:right="0"/>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jc w:val="right"/>
      <w:rPr/>
    </w:pPr>
    <w:r w:rsidDel="00000000" w:rsidR="00000000" w:rsidRPr="00000000">
      <w:rPr>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-1092199</wp:posOffset>
              </wp:positionH>
              <wp:positionV relativeFrom="paragraph">
                <wp:posOffset>-431799</wp:posOffset>
              </wp:positionV>
              <wp:extent cx="7606030" cy="1264251"/>
              <wp:effectExtent b="0" l="0" r="0" t="0"/>
              <wp:wrapNone/>
              <wp:docPr id="155" name=""/>
              <a:graphic>
                <a:graphicData uri="http://schemas.microsoft.com/office/word/2010/wordprocessingShape">
                  <wps:wsp>
                    <wps:cNvSpPr/>
                    <wps:cNvPr id="4" name="Shape 4"/>
                    <wps:spPr>
                      <a:xfrm>
                        <a:off x="1557273" y="3162162"/>
                        <a:ext cx="7577455" cy="1235676"/>
                      </a:xfrm>
                      <a:prstGeom prst="rect">
                        <a:avLst/>
                      </a:prstGeom>
                      <a:solidFill>
                        <a:srgbClr val="787878"/>
                      </a:solidFill>
                      <a:ln>
                        <a:noFill/>
                      </a:ln>
                    </wps:spPr>
                    <wps:txbx>
                      <w:txbxContent>
                        <w:p w:rsidR="00000000" w:rsidDel="00000000" w:rsidP="00000000" w:rsidRDefault="00000000" w:rsidRPr="00000000">
                          <w:pPr>
                            <w:spacing w:after="40" w:before="0" w:line="240"/>
                            <w:ind w:left="0" w:right="0" w:firstLine="0"/>
                            <w:jc w:val="both"/>
                            <w:textDirection w:val="btLr"/>
                          </w:pPr>
                        </w:p>
                        <w:p w:rsidR="00000000" w:rsidDel="00000000" w:rsidP="00000000" w:rsidRDefault="00000000" w:rsidRPr="00000000">
                          <w:pPr>
                            <w:spacing w:after="4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-1092199</wp:posOffset>
              </wp:positionH>
              <wp:positionV relativeFrom="paragraph">
                <wp:posOffset>-431799</wp:posOffset>
              </wp:positionV>
              <wp:extent cx="7606030" cy="1264251"/>
              <wp:effectExtent b="0" l="0" r="0" t="0"/>
              <wp:wrapNone/>
              <wp:docPr id="15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06030" cy="126425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5159375</wp:posOffset>
          </wp:positionH>
          <wp:positionV relativeFrom="paragraph">
            <wp:posOffset>-192796</wp:posOffset>
          </wp:positionV>
          <wp:extent cx="775992" cy="764746"/>
          <wp:effectExtent b="0" l="0" r="0" t="0"/>
          <wp:wrapNone/>
          <wp:docPr id="15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75992" cy="76474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930096" cy="105415"/>
              <wp:effectExtent b="0" l="0" r="0" t="0"/>
              <wp:wrapNone/>
              <wp:docPr id="154" name=""/>
              <a:graphic>
                <a:graphicData uri="http://schemas.microsoft.com/office/word/2010/wordprocessingShape">
                  <wps:wsp>
                    <wps:cNvSpPr/>
                    <wps:cNvPr id="3" name="Shape 3"/>
                    <wps:spPr>
                      <a:xfrm>
                        <a:off x="4895240" y="3741580"/>
                        <a:ext cx="901521" cy="7684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930096" cy="105415"/>
              <wp:effectExtent b="0" l="0" r="0" t="0"/>
              <wp:wrapNone/>
              <wp:docPr id="15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930096" cy="105415"/>
                      </a:xfrm>
                      <a:prstGeom prst="rect"/>
                      <a:ln/>
                    </pic:spPr>
                  </pic:pic>
                </a:graphicData>
              </a:graphic>
            </wp:anchor>
          </w:drawing>
        </mc:Fallback>
      </mc:AlternateContent>
    </w:r>
  </w:p>
  <w:p w:rsidR="00000000" w:rsidDel="00000000" w:rsidP="00000000" w:rsidRDefault="00000000" w:rsidRPr="00000000" w14:paraId="0000002A">
    <w:pPr>
      <w:pStyle w:val="Heading4"/>
      <w:rPr/>
    </w:pPr>
    <w:r w:rsidDel="00000000" w:rsidR="00000000" w:rsidRPr="00000000">
      <w:rPr>
        <w:rtl w:val="0"/>
      </w:rPr>
      <w:t xml:space="preserve">ΔΕΛΤΙΟ ΤΥΠΟΥ</w:t>
    </w:r>
  </w:p>
  <w:p w:rsidR="00000000" w:rsidDel="00000000" w:rsidP="00000000" w:rsidRDefault="00000000" w:rsidRPr="00000000" w14:paraId="0000002B">
    <w:pPr>
      <w:pStyle w:val="Heading4"/>
      <w:rPr/>
    </w:pPr>
    <w:r w:rsidDel="00000000" w:rsidR="00000000" w:rsidRPr="00000000">
      <w:rPr>
        <w:rtl w:val="0"/>
      </w:rPr>
      <w:t xml:space="preserve">SAFE2EAT </w:t>
    </w:r>
  </w:p>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86663" cy="2008575"/>
              <wp:effectExtent b="0" l="0" r="0" t="0"/>
              <wp:wrapNone/>
              <wp:docPr id="157" name=""/>
              <a:graphic>
                <a:graphicData uri="http://schemas.microsoft.com/office/word/2010/wordprocessingShape">
                  <wps:wsp>
                    <wps:cNvSpPr/>
                    <wps:cNvPr id="6" name="Shape 6"/>
                    <wps:spPr>
                      <a:xfrm>
                        <a:off x="1566956" y="2790000"/>
                        <a:ext cx="7558088" cy="1980000"/>
                      </a:xfrm>
                      <a:prstGeom prst="rect">
                        <a:avLst/>
                      </a:prstGeom>
                      <a:solidFill>
                        <a:srgbClr val="7878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86663" cy="2008575"/>
              <wp:effectExtent b="0" l="0" r="0" t="0"/>
              <wp:wrapNone/>
              <wp:docPr id="15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586663" cy="20085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4954270</wp:posOffset>
          </wp:positionH>
          <wp:positionV relativeFrom="paragraph">
            <wp:posOffset>-152576</wp:posOffset>
          </wp:positionV>
          <wp:extent cx="945515" cy="1439545"/>
          <wp:effectExtent b="0" l="0" r="0" t="0"/>
          <wp:wrapNone/>
          <wp:docPr id="16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45515" cy="14395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-12699</wp:posOffset>
              </wp:positionV>
              <wp:extent cx="4556760" cy="1572895"/>
              <wp:effectExtent b="0" l="0" r="0" t="0"/>
              <wp:wrapNone/>
              <wp:docPr id="156" name=""/>
              <a:graphic>
                <a:graphicData uri="http://schemas.microsoft.com/office/word/2010/wordprocessingShape">
                  <wps:wsp>
                    <wps:cNvSpPr/>
                    <wps:cNvPr id="5" name="Shape 5"/>
                    <wps:spPr>
                      <a:xfrm>
                        <a:off x="3081908" y="3007840"/>
                        <a:ext cx="4528185" cy="1544320"/>
                      </a:xfrm>
                      <a:prstGeom prst="rect">
                        <a:avLst/>
                      </a:prstGeom>
                      <a:noFill/>
                      <a:ln>
                        <a:noFill/>
                      </a:ln>
                    </wps:spPr>
                    <wps:txbx>
                      <w:txbxContent>
                        <w:p w:rsidR="00000000" w:rsidDel="00000000" w:rsidP="00000000" w:rsidRDefault="00000000" w:rsidRPr="00000000">
                          <w:pPr>
                            <w:spacing w:after="40" w:before="0" w:line="240"/>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t xml:space="preserve">ΔΕΛΤΙΟ ΤΥΠΟΥ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Verdana" w:cs="Verdana" w:eastAsia="Verdana" w:hAnsi="Verdana"/>
                              <w:b w:val="0"/>
                              <w:i w:val="0"/>
                              <w:smallCaps w:val="0"/>
                              <w:strike w:val="0"/>
                              <w:color w:val="22294d"/>
                              <w:sz w:val="19"/>
                              <w:vertAlign w:val="baseline"/>
                            </w:rPr>
                          </w:r>
                          <w:r w:rsidDel="00000000" w:rsidR="00000000" w:rsidRPr="00000000">
                            <w:rPr>
                              <w:rFonts w:ascii="Verdana" w:cs="Verdana" w:eastAsia="Verdana" w:hAnsi="Verdana"/>
                              <w:b w:val="0"/>
                              <w:i w:val="0"/>
                              <w:smallCaps w:val="0"/>
                              <w:strike w:val="0"/>
                              <w:color w:val="ffffff"/>
                              <w:sz w:val="24"/>
                              <w:vertAlign w:val="baseline"/>
                            </w:rPr>
                            <w:t xml:space="preserve">Για άμεση δημοσίευση</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Verdana" w:cs="Verdana" w:eastAsia="Verdana" w:hAnsi="Verdana"/>
                              <w:b w:val="0"/>
                              <w:i w:val="0"/>
                              <w:smallCaps w:val="0"/>
                              <w:strike w:val="0"/>
                              <w:color w:val="22294d"/>
                              <w:sz w:val="19"/>
                              <w:vertAlign w:val="baseline"/>
                            </w:rPr>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Verdana" w:cs="Verdana" w:eastAsia="Verdana" w:hAnsi="Verdana"/>
                              <w:b w:val="0"/>
                              <w:i w:val="0"/>
                              <w:smallCaps w:val="0"/>
                              <w:strike w:val="0"/>
                              <w:color w:val="22294d"/>
                              <w:sz w:val="19"/>
                              <w:vertAlign w:val="baseline"/>
                            </w:rPr>
                          </w:r>
                          <w:r w:rsidDel="00000000" w:rsidR="00000000" w:rsidRPr="00000000">
                            <w:rPr>
                              <w:rFonts w:ascii="Arial" w:cs="Arial" w:eastAsia="Arial" w:hAnsi="Arial"/>
                              <w:b w:val="0"/>
                              <w:i w:val="0"/>
                              <w:smallCaps w:val="0"/>
                              <w:strike w:val="0"/>
                              <w:color w:val="ffffff"/>
                              <w:sz w:val="32"/>
                              <w:vertAlign w:val="baseline"/>
                            </w:rPr>
                            <w:t xml:space="preserve">SAFE2EAT</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Verdana" w:cs="Verdana" w:eastAsia="Verdana" w:hAnsi="Verdana"/>
                              <w:b w:val="0"/>
                              <w:i w:val="0"/>
                              <w:smallCaps w:val="0"/>
                              <w:strike w:val="0"/>
                              <w:color w:val="22294d"/>
                              <w:sz w:val="19"/>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Verdana" w:cs="Verdana" w:eastAsia="Verdana" w:hAnsi="Verdana"/>
                              <w:b w:val="0"/>
                              <w:i w:val="0"/>
                              <w:smallCaps w:val="0"/>
                              <w:strike w:val="0"/>
                              <w:color w:val="22294d"/>
                              <w:sz w:val="19"/>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-12699</wp:posOffset>
              </wp:positionV>
              <wp:extent cx="4556760" cy="1572895"/>
              <wp:effectExtent b="0" l="0" r="0" t="0"/>
              <wp:wrapNone/>
              <wp:docPr id="15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556760" cy="15728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-1080019</wp:posOffset>
          </wp:positionH>
          <wp:positionV relativeFrom="paragraph">
            <wp:posOffset>-226691</wp:posOffset>
          </wp:positionV>
          <wp:extent cx="773561" cy="1547122"/>
          <wp:effectExtent b="0" l="0" r="0" t="0"/>
          <wp:wrapNone/>
          <wp:docPr id="15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3561" cy="1547122"/>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after="0" w:lineRule="auto"/>
      <w:ind w:right="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911802" cy="100575"/>
              <wp:effectExtent b="0" l="0" r="0" t="0"/>
              <wp:wrapNone/>
              <wp:docPr id="153" name=""/>
              <a:graphic>
                <a:graphicData uri="http://schemas.microsoft.com/office/word/2010/wordprocessingShape">
                  <wps:wsp>
                    <wps:cNvSpPr/>
                    <wps:cNvPr id="2" name="Shape 2"/>
                    <wps:spPr>
                      <a:xfrm>
                        <a:off x="4904387" y="3744000"/>
                        <a:ext cx="883227" cy="72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911802" cy="100575"/>
              <wp:effectExtent b="0" l="0" r="0" t="0"/>
              <wp:wrapNone/>
              <wp:docPr id="1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11802" cy="100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22294d"/>
        <w:sz w:val="19"/>
        <w:szCs w:val="19"/>
        <w:lang w:val="el-G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ind w:right="0"/>
    </w:pPr>
    <w:rPr/>
  </w:style>
  <w:style w:type="paragraph" w:styleId="Heading2">
    <w:name w:val="heading 2"/>
    <w:basedOn w:val="Normal"/>
    <w:next w:val="Normal"/>
    <w:pPr>
      <w:spacing w:after="360" w:lineRule="auto"/>
      <w:ind w:right="0"/>
      <w:jc w:val="right"/>
    </w:pPr>
    <w:rPr>
      <w:b w:val="1"/>
      <w:sz w:val="36"/>
      <w:szCs w:val="36"/>
    </w:rPr>
  </w:style>
  <w:style w:type="paragraph" w:styleId="Heading3">
    <w:name w:val="heading 3"/>
    <w:basedOn w:val="Normal"/>
    <w:next w:val="Normal"/>
    <w:pPr>
      <w:spacing w:after="0" w:before="240" w:lineRule="auto"/>
      <w:ind w:right="0"/>
    </w:pPr>
    <w:rPr>
      <w:color w:val="ffffff"/>
      <w:sz w:val="32"/>
      <w:szCs w:val="32"/>
    </w:rPr>
  </w:style>
  <w:style w:type="paragraph" w:styleId="Heading4">
    <w:name w:val="heading 4"/>
    <w:basedOn w:val="Normal"/>
    <w:next w:val="Normal"/>
    <w:pPr>
      <w:spacing w:after="40" w:lineRule="auto"/>
    </w:pPr>
    <w:rPr>
      <w:color w:val="ffffff"/>
      <w:sz w:val="24"/>
      <w:szCs w:val="24"/>
    </w:rPr>
  </w:style>
  <w:style w:type="paragraph" w:styleId="Heading5">
    <w:name w:val="heading 5"/>
    <w:basedOn w:val="Normal"/>
    <w:next w:val="Normal"/>
    <w:pPr>
      <w:spacing w:after="120" w:lineRule="auto"/>
      <w:ind w:right="0"/>
      <w:jc w:val="right"/>
    </w:pPr>
    <w:rPr>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Rule="auto"/>
      <w:ind w:right="0"/>
      <w:jc w:val="right"/>
    </w:pPr>
    <w:rPr>
      <w:b w:val="0"/>
      <w:i w:val="1"/>
      <w:sz w:val="36"/>
      <w:szCs w:val="36"/>
    </w:rPr>
  </w:style>
  <w:style w:type="paragraph" w:styleId="Normal" w:default="1">
    <w:name w:val="Normal"/>
    <w:qFormat w:val="1"/>
    <w:rsid w:val="005B3B3E"/>
    <w:pPr>
      <w:ind w:right="-1"/>
    </w:pPr>
    <w:rPr>
      <w:lang w:val="en-US"/>
    </w:rPr>
  </w:style>
  <w:style w:type="paragraph" w:styleId="Heading1">
    <w:name w:val="heading 1"/>
    <w:aliases w:val="3 - Contact"/>
    <w:basedOn w:val="Normal"/>
    <w:next w:val="Normal"/>
    <w:link w:val="Heading1Char"/>
    <w:uiPriority w:val="9"/>
    <w:qFormat w:val="1"/>
    <w:rsid w:val="00120CDF"/>
    <w:pPr>
      <w:spacing w:after="0"/>
      <w:ind w:right="0"/>
      <w:outlineLvl w:val="0"/>
    </w:pPr>
  </w:style>
  <w:style w:type="paragraph" w:styleId="Heading2">
    <w:name w:val="heading 2"/>
    <w:aliases w:val="5 - Optional subheadline"/>
    <w:basedOn w:val="Normal"/>
    <w:next w:val="Normal"/>
    <w:link w:val="Heading2Char"/>
    <w:uiPriority w:val="9"/>
    <w:unhideWhenUsed w:val="1"/>
    <w:qFormat w:val="1"/>
    <w:rsid w:val="00120CDF"/>
    <w:pPr>
      <w:spacing w:after="360"/>
      <w:ind w:right="0"/>
      <w:jc w:val="right"/>
      <w:outlineLvl w:val="1"/>
    </w:pPr>
    <w:rPr>
      <w:b w:val="1"/>
      <w:bCs w:val="1"/>
      <w:sz w:val="36"/>
      <w:szCs w:val="36"/>
    </w:rPr>
  </w:style>
  <w:style w:type="paragraph" w:styleId="Heading3">
    <w:name w:val="heading 3"/>
    <w:aliases w:val="2 - Headline header"/>
    <w:basedOn w:val="Normal"/>
    <w:next w:val="Normal"/>
    <w:link w:val="Heading3Char"/>
    <w:uiPriority w:val="9"/>
    <w:unhideWhenUsed w:val="1"/>
    <w:qFormat w:val="1"/>
    <w:rsid w:val="0059261D"/>
    <w:pPr>
      <w:spacing w:after="0" w:before="240"/>
      <w:ind w:right="0"/>
      <w:outlineLvl w:val="2"/>
    </w:pPr>
    <w:rPr>
      <w:color w:val="ffffff" w:themeColor="background1"/>
      <w:sz w:val="32"/>
      <w:szCs w:val="32"/>
    </w:rPr>
  </w:style>
  <w:style w:type="paragraph" w:styleId="Heading4">
    <w:name w:val="heading 4"/>
    <w:aliases w:val="1 - Date &amp; Press release"/>
    <w:basedOn w:val="Normal"/>
    <w:next w:val="Normal"/>
    <w:link w:val="Heading4Char"/>
    <w:uiPriority w:val="9"/>
    <w:unhideWhenUsed w:val="1"/>
    <w:qFormat w:val="1"/>
    <w:rsid w:val="0059261D"/>
    <w:pPr>
      <w:spacing w:after="40"/>
      <w:outlineLvl w:val="3"/>
    </w:pPr>
    <w:rPr>
      <w:color w:val="ffffff" w:themeColor="background1"/>
      <w:sz w:val="24"/>
      <w:szCs w:val="36"/>
    </w:rPr>
  </w:style>
  <w:style w:type="paragraph" w:styleId="Heading5">
    <w:name w:val="heading 5"/>
    <w:aliases w:val="4 - Headline body"/>
    <w:basedOn w:val="Heading1"/>
    <w:next w:val="Normal"/>
    <w:link w:val="Heading5Char"/>
    <w:uiPriority w:val="9"/>
    <w:semiHidden w:val="1"/>
    <w:unhideWhenUsed w:val="1"/>
    <w:qFormat w:val="1"/>
    <w:rsid w:val="00120CDF"/>
    <w:pPr>
      <w:spacing w:after="120"/>
      <w:jc w:val="right"/>
      <w:outlineLvl w:val="4"/>
    </w:pPr>
    <w:rPr>
      <w:sz w:val="28"/>
      <w:szCs w:val="2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6 - Position"/>
    <w:basedOn w:val="Heading2"/>
    <w:next w:val="Normal"/>
    <w:link w:val="TitleChar"/>
    <w:uiPriority w:val="10"/>
    <w:qFormat w:val="1"/>
    <w:rsid w:val="00EA7E45"/>
    <w:rPr>
      <w:b w:val="0"/>
      <w:bCs w:val="0"/>
      <w:i w:val="1"/>
    </w:rPr>
  </w:style>
  <w:style w:type="paragraph" w:styleId="Listparalevel2" w:customStyle="1">
    <w:name w:val="List para level 2"/>
    <w:basedOn w:val="ListParagraph"/>
    <w:link w:val="Listparalevel2Char"/>
    <w:rsid w:val="00A11232"/>
    <w:pPr>
      <w:numPr>
        <w:ilvl w:val="1"/>
        <w:numId w:val="2"/>
      </w:numPr>
    </w:pPr>
  </w:style>
  <w:style w:type="character" w:styleId="Listparalevel2Char" w:customStyle="1">
    <w:name w:val="List para level 2 Char"/>
    <w:basedOn w:val="ListParagraphChar"/>
    <w:link w:val="Listparalevel2"/>
    <w:rsid w:val="00A11232"/>
    <w:rPr>
      <w:noProof w:val="1"/>
      <w:color w:val="787878"/>
      <w:sz w:val="19"/>
      <w:lang w:val="fr-FR"/>
    </w:rPr>
  </w:style>
  <w:style w:type="paragraph" w:styleId="ListParagraph">
    <w:name w:val="List Paragraph"/>
    <w:basedOn w:val="Normal"/>
    <w:link w:val="ListParagraphChar"/>
    <w:uiPriority w:val="34"/>
    <w:rsid w:val="00A11232"/>
    <w:pPr>
      <w:spacing w:after="0"/>
      <w:contextualSpacing w:val="1"/>
    </w:pPr>
    <w:rPr>
      <w:noProof w:val="1"/>
      <w:lang w:val="fr-FR"/>
    </w:rPr>
  </w:style>
  <w:style w:type="paragraph" w:styleId="Listparalevel3" w:customStyle="1">
    <w:name w:val="List para level 3"/>
    <w:basedOn w:val="Listparalevel2"/>
    <w:link w:val="Listparalevel3Char"/>
    <w:rsid w:val="00A11232"/>
    <w:pPr>
      <w:numPr>
        <w:ilvl w:val="2"/>
      </w:numPr>
    </w:pPr>
  </w:style>
  <w:style w:type="character" w:styleId="Listparalevel3Char" w:customStyle="1">
    <w:name w:val="List para level 3 Char"/>
    <w:basedOn w:val="Listparalevel2Char"/>
    <w:link w:val="Listparalevel3"/>
    <w:rsid w:val="00A11232"/>
    <w:rPr>
      <w:noProof w:val="1"/>
      <w:color w:val="787878"/>
      <w:sz w:val="19"/>
      <w:lang w:val="fr-FR"/>
    </w:rPr>
  </w:style>
  <w:style w:type="paragraph" w:styleId="listnumgreen" w:customStyle="1">
    <w:name w:val="list num green"/>
    <w:basedOn w:val="ListParagraph"/>
    <w:rsid w:val="00A11232"/>
    <w:pPr>
      <w:numPr>
        <w:numId w:val="3"/>
      </w:numPr>
    </w:pPr>
  </w:style>
  <w:style w:type="paragraph" w:styleId="Contact" w:customStyle="1">
    <w:name w:val="Contact"/>
    <w:basedOn w:val="Normal"/>
    <w:qFormat w:val="1"/>
    <w:rsid w:val="00A11232"/>
    <w:pPr>
      <w:spacing w:after="0"/>
      <w:ind w:right="-425"/>
    </w:pPr>
  </w:style>
  <w:style w:type="character" w:styleId="Heading1Char" w:customStyle="1">
    <w:name w:val="Heading 1 Char"/>
    <w:aliases w:val="3 - Contact Char"/>
    <w:basedOn w:val="DefaultParagraphFont"/>
    <w:link w:val="Heading1"/>
    <w:uiPriority w:val="9"/>
    <w:rsid w:val="00120CDF"/>
    <w:rPr>
      <w:color w:val="22294d"/>
      <w:sz w:val="19"/>
      <w:lang w:val="en-US"/>
    </w:rPr>
  </w:style>
  <w:style w:type="character" w:styleId="Heading2Char" w:customStyle="1">
    <w:name w:val="Heading 2 Char"/>
    <w:aliases w:val="5 - Optional subheadline Char"/>
    <w:basedOn w:val="DefaultParagraphFont"/>
    <w:link w:val="Heading2"/>
    <w:uiPriority w:val="9"/>
    <w:rsid w:val="00120CDF"/>
    <w:rPr>
      <w:b w:val="1"/>
      <w:bCs w:val="1"/>
      <w:color w:val="22294d"/>
      <w:sz w:val="36"/>
      <w:szCs w:val="36"/>
      <w:lang w:val="en-US"/>
    </w:rPr>
  </w:style>
  <w:style w:type="character" w:styleId="Heading3Char" w:customStyle="1">
    <w:name w:val="Heading 3 Char"/>
    <w:aliases w:val="2 - Headline header Char"/>
    <w:basedOn w:val="DefaultParagraphFont"/>
    <w:link w:val="Heading3"/>
    <w:uiPriority w:val="9"/>
    <w:rsid w:val="0059261D"/>
    <w:rPr>
      <w:color w:val="ffffff" w:themeColor="background1"/>
      <w:sz w:val="32"/>
      <w:szCs w:val="32"/>
      <w:lang w:val="en-US"/>
    </w:rPr>
  </w:style>
  <w:style w:type="character" w:styleId="Heading4Char" w:customStyle="1">
    <w:name w:val="Heading 4 Char"/>
    <w:aliases w:val="1 - Date &amp; Press release Char"/>
    <w:basedOn w:val="DefaultParagraphFont"/>
    <w:link w:val="Heading4"/>
    <w:uiPriority w:val="9"/>
    <w:rsid w:val="0059261D"/>
    <w:rPr>
      <w:color w:val="ffffff" w:themeColor="background1"/>
      <w:sz w:val="24"/>
      <w:szCs w:val="36"/>
      <w:lang w:val="en-US"/>
    </w:rPr>
  </w:style>
  <w:style w:type="character" w:styleId="Heading5Char" w:customStyle="1">
    <w:name w:val="Heading 5 Char"/>
    <w:aliases w:val="4 - Headline body Char"/>
    <w:basedOn w:val="DefaultParagraphFont"/>
    <w:link w:val="Heading5"/>
    <w:uiPriority w:val="9"/>
    <w:rsid w:val="00120CDF"/>
    <w:rPr>
      <w:color w:val="22294d"/>
      <w:sz w:val="28"/>
      <w:szCs w:val="28"/>
      <w:lang w:val="en-US"/>
    </w:rPr>
  </w:style>
  <w:style w:type="character" w:styleId="TitleChar" w:customStyle="1">
    <w:name w:val="Title Char"/>
    <w:aliases w:val="6 - Position Char"/>
    <w:basedOn w:val="DefaultParagraphFont"/>
    <w:link w:val="Title"/>
    <w:uiPriority w:val="10"/>
    <w:rsid w:val="00EA7E45"/>
    <w:rPr>
      <w:i w:val="1"/>
      <w:color w:val="22294d"/>
      <w:sz w:val="19"/>
      <w:lang w:val="en-US"/>
    </w:rPr>
  </w:style>
  <w:style w:type="character" w:styleId="ListParagraphChar" w:customStyle="1">
    <w:name w:val="List Paragraph Char"/>
    <w:basedOn w:val="DefaultParagraphFont"/>
    <w:link w:val="ListParagraph"/>
    <w:uiPriority w:val="34"/>
    <w:rsid w:val="00A11232"/>
    <w:rPr>
      <w:noProof w:val="1"/>
      <w:color w:val="787878"/>
      <w:sz w:val="19"/>
      <w:lang w:val="fr-FR"/>
    </w:rPr>
  </w:style>
  <w:style w:type="paragraph" w:styleId="Header">
    <w:name w:val="header"/>
    <w:basedOn w:val="Normal"/>
    <w:link w:val="HeaderChar"/>
    <w:uiPriority w:val="99"/>
    <w:unhideWhenUsed w:val="1"/>
    <w:rsid w:val="005B3B3E"/>
    <w:pPr>
      <w:tabs>
        <w:tab w:val="center" w:pos="4536"/>
        <w:tab w:val="right" w:pos="9072"/>
      </w:tabs>
      <w:spacing w:after="0"/>
    </w:pPr>
  </w:style>
  <w:style w:type="character" w:styleId="HeaderChar" w:customStyle="1">
    <w:name w:val="Header Char"/>
    <w:basedOn w:val="DefaultParagraphFont"/>
    <w:link w:val="Header"/>
    <w:uiPriority w:val="99"/>
    <w:rsid w:val="005B3B3E"/>
    <w:rPr>
      <w:color w:val="787878"/>
      <w:sz w:val="19"/>
      <w:lang w:val="nl-NL"/>
    </w:rPr>
  </w:style>
  <w:style w:type="paragraph" w:styleId="Footer">
    <w:name w:val="footer"/>
    <w:basedOn w:val="Normal"/>
    <w:link w:val="FooterChar"/>
    <w:uiPriority w:val="99"/>
    <w:unhideWhenUsed w:val="1"/>
    <w:rsid w:val="005B3B3E"/>
    <w:pPr>
      <w:tabs>
        <w:tab w:val="center" w:pos="4536"/>
        <w:tab w:val="right" w:pos="9072"/>
      </w:tabs>
      <w:spacing w:after="0"/>
    </w:pPr>
  </w:style>
  <w:style w:type="character" w:styleId="FooterChar" w:customStyle="1">
    <w:name w:val="Footer Char"/>
    <w:basedOn w:val="DefaultParagraphFont"/>
    <w:link w:val="Footer"/>
    <w:uiPriority w:val="99"/>
    <w:rsid w:val="005B3B3E"/>
    <w:rPr>
      <w:color w:val="787878"/>
      <w:sz w:val="19"/>
      <w:lang w:val="nl-NL"/>
    </w:rPr>
  </w:style>
  <w:style w:type="character" w:styleId="PlaceholderText">
    <w:name w:val="Placeholder Text"/>
    <w:basedOn w:val="DefaultParagraphFont"/>
    <w:uiPriority w:val="99"/>
    <w:semiHidden w:val="1"/>
    <w:rsid w:val="0059261D"/>
    <w:rPr>
      <w:color w:val="808080"/>
    </w:rPr>
  </w:style>
  <w:style w:type="character" w:styleId="Hyperlink">
    <w:name w:val="Hyperlink"/>
    <w:basedOn w:val="DefaultParagraphFont"/>
    <w:uiPriority w:val="99"/>
    <w:unhideWhenUsed w:val="1"/>
    <w:rsid w:val="0059261D"/>
    <w:rPr>
      <w:color w:val="0563c1" w:themeColor="hyperlink"/>
      <w:u w:val="single"/>
    </w:rPr>
  </w:style>
  <w:style w:type="table" w:styleId="TableGrid">
    <w:name w:val="Table Grid"/>
    <w:basedOn w:val="TableNormal"/>
    <w:uiPriority w:val="39"/>
    <w:rsid w:val="00246A65"/>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506395"/>
    <w:pPr>
      <w:spacing w:after="100" w:afterAutospacing="1" w:before="100" w:beforeAutospacing="1"/>
      <w:ind w:right="0"/>
      <w:jc w:val="left"/>
    </w:pPr>
    <w:rPr>
      <w:rFonts w:ascii="Times New Roman" w:cs="Times New Roman" w:eastAsia="Times New Roman" w:hAnsi="Times New Roman"/>
      <w:color w:val="auto"/>
      <w:sz w:val="24"/>
      <w:szCs w:val="24"/>
      <w:lang w:val="en-GB"/>
    </w:rPr>
  </w:style>
  <w:style w:type="character" w:styleId="eop" w:customStyle="1">
    <w:name w:val="eop"/>
    <w:basedOn w:val="DefaultParagraphFont"/>
    <w:rsid w:val="00506395"/>
  </w:style>
  <w:style w:type="character" w:styleId="normaltextrun" w:customStyle="1">
    <w:name w:val="normaltextrun"/>
    <w:basedOn w:val="DefaultParagraphFont"/>
    <w:rsid w:val="00506395"/>
  </w:style>
  <w:style w:type="character" w:styleId="tabchar" w:customStyle="1">
    <w:name w:val="tabchar"/>
    <w:basedOn w:val="DefaultParagraphFont"/>
    <w:rsid w:val="00506395"/>
  </w:style>
  <w:style w:type="character" w:styleId="UnresolvedMention1" w:customStyle="1">
    <w:name w:val="Unresolved Mention1"/>
    <w:basedOn w:val="DefaultParagraphFont"/>
    <w:uiPriority w:val="99"/>
    <w:semiHidden w:val="1"/>
    <w:unhideWhenUsed w:val="1"/>
    <w:rsid w:val="00BC5CD7"/>
    <w:rPr>
      <w:color w:val="605e5c"/>
      <w:shd w:color="auto" w:fill="e1dfdd" w:val="clear"/>
    </w:rPr>
  </w:style>
  <w:style w:type="paragraph" w:styleId="Revision">
    <w:name w:val="Revision"/>
    <w:hidden w:val="1"/>
    <w:uiPriority w:val="99"/>
    <w:semiHidden w:val="1"/>
    <w:rsid w:val="00BF76DA"/>
    <w:pPr>
      <w:spacing w:after="0"/>
    </w:pPr>
    <w:rPr>
      <w:lang w:val="en-US"/>
    </w:rPr>
  </w:style>
  <w:style w:type="character" w:styleId="CommentReference">
    <w:name w:val="annotation reference"/>
    <w:basedOn w:val="DefaultParagraphFont"/>
    <w:uiPriority w:val="99"/>
    <w:semiHidden w:val="1"/>
    <w:unhideWhenUsed w:val="1"/>
    <w:rsid w:val="004D13EB"/>
    <w:rPr>
      <w:sz w:val="16"/>
      <w:szCs w:val="16"/>
    </w:rPr>
  </w:style>
  <w:style w:type="paragraph" w:styleId="CommentText">
    <w:name w:val="annotation text"/>
    <w:basedOn w:val="Normal"/>
    <w:link w:val="CommentTextChar"/>
    <w:uiPriority w:val="99"/>
    <w:unhideWhenUsed w:val="1"/>
    <w:rsid w:val="004D13EB"/>
    <w:rPr>
      <w:sz w:val="20"/>
      <w:szCs w:val="20"/>
    </w:rPr>
  </w:style>
  <w:style w:type="character" w:styleId="CommentTextChar" w:customStyle="1">
    <w:name w:val="Comment Text Char"/>
    <w:basedOn w:val="DefaultParagraphFont"/>
    <w:link w:val="CommentText"/>
    <w:uiPriority w:val="99"/>
    <w:rsid w:val="004D13EB"/>
    <w:rPr>
      <w:color w:val="22294d"/>
      <w:sz w:val="20"/>
      <w:szCs w:val="20"/>
      <w:lang w:val="en-US"/>
    </w:rPr>
  </w:style>
  <w:style w:type="paragraph" w:styleId="CommentSubject">
    <w:name w:val="annotation subject"/>
    <w:basedOn w:val="CommentText"/>
    <w:next w:val="CommentText"/>
    <w:link w:val="CommentSubjectChar"/>
    <w:uiPriority w:val="99"/>
    <w:semiHidden w:val="1"/>
    <w:unhideWhenUsed w:val="1"/>
    <w:rsid w:val="004D13EB"/>
    <w:rPr>
      <w:b w:val="1"/>
      <w:bCs w:val="1"/>
    </w:rPr>
  </w:style>
  <w:style w:type="character" w:styleId="CommentSubjectChar" w:customStyle="1">
    <w:name w:val="Comment Subject Char"/>
    <w:basedOn w:val="CommentTextChar"/>
    <w:link w:val="CommentSubject"/>
    <w:uiPriority w:val="99"/>
    <w:semiHidden w:val="1"/>
    <w:rsid w:val="004D13EB"/>
    <w:rPr>
      <w:b w:val="1"/>
      <w:bCs w:val="1"/>
      <w:color w:val="22294d"/>
      <w:sz w:val="20"/>
      <w:szCs w:val="2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style>
  <w:style w:type="table" w:styleId="a1" w:customStyle="1">
    <w:basedOn w:val="TableNormal"/>
    <w:pPr>
      <w:spacing w:after="0"/>
    </w:pPr>
    <w:tblPr>
      <w:tblStyleRowBandSize w:val="1"/>
      <w:tblStyleColBandSize w:val="1"/>
    </w:tblPr>
  </w:style>
  <w:style w:type="table" w:styleId="a2" w:customStyle="1">
    <w:basedOn w:val="TableNormal"/>
    <w:pPr>
      <w:spacing w:after="0"/>
    </w:pPr>
    <w:tblPr>
      <w:tblStyleRowBandSize w:val="1"/>
      <w:tblStyleColBandSize w:val="1"/>
    </w:tblPr>
  </w:style>
  <w:style w:type="paragraph" w:styleId="BalloonText">
    <w:name w:val="Balloon Text"/>
    <w:basedOn w:val="Normal"/>
    <w:link w:val="BalloonTextChar"/>
    <w:uiPriority w:val="99"/>
    <w:semiHidden w:val="1"/>
    <w:unhideWhenUsed w:val="1"/>
    <w:rsid w:val="001927E9"/>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27E9"/>
    <w:rPr>
      <w:rFonts w:ascii="Segoe UI" w:cs="Segoe UI" w:hAnsi="Segoe UI"/>
      <w:sz w:val="18"/>
      <w:szCs w:val="18"/>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fsa.europa.eu/el/safe2e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fsa.europa.eu/el/safe2eat" TargetMode="External"/><Relationship Id="rId8" Type="http://schemas.openxmlformats.org/officeDocument/2006/relationships/hyperlink" Target="https://www.efsa.europa.eu/el/safe2e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FSA_Wo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LWVVfRGecg1KznRPIS0abIoig==">CgMxLjAyDmgubHZsMzk3cWd2bmdxMg5oLjZiODJ6a2Mzb2FqcDIOaC4zbzZvdTF0ZnBqbXUyDmguMXd2ZHI2MTZxbmczOAByITF6OF9maW9DRFJRVTh4a3ZtQkpYVC14NTRudDc0djBhTQ==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2025-04-02T07:11:00Z</dcterms:created>
  <dc:creator>GARCIA GOMEZ Matilde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0x010100F8FC9C5E6EA9FC4BAC7A8512F6603D45</vt:lpwstr>
  </property>
  <property fmtid="{D5CDD505-2E9C-101B-9397-08002B2CF9AE}" pid="4" name="MediaServiceImageTags">
    <vt:lpwstr/>
  </property>
  <property fmtid="{D5CDD505-2E9C-101B-9397-08002B2CF9AE}" pid="5" name="Order">
    <vt:r8>4200.0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