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D10" w14:textId="77777777" w:rsidR="006B5DD3" w:rsidRPr="004356DF" w:rsidRDefault="006B5DD3" w:rsidP="004413F4">
      <w:pPr>
        <w:rPr>
          <w:rFonts w:ascii="Arial" w:hAnsi="Arial" w:cs="Arial"/>
          <w:b/>
          <w:bCs/>
          <w:sz w:val="32"/>
          <w:szCs w:val="32"/>
          <w:lang w:val="en-US"/>
        </w:rPr>
      </w:pPr>
    </w:p>
    <w:p w14:paraId="7F4C8406" w14:textId="389F97D1" w:rsidR="00945F0F" w:rsidRPr="00BD352B" w:rsidRDefault="00945F0F" w:rsidP="004413F4">
      <w:pPr>
        <w:rPr>
          <w:rFonts w:ascii="Arial" w:hAnsi="Arial" w:cs="Arial"/>
          <w:b/>
          <w:bCs/>
          <w:sz w:val="32"/>
          <w:szCs w:val="32"/>
        </w:rPr>
      </w:pPr>
      <w:r w:rsidRPr="00BD352B">
        <w:rPr>
          <w:b/>
          <w:bCs/>
          <w:noProof/>
          <w:sz w:val="32"/>
          <w:szCs w:val="32"/>
        </w:rPr>
        <w:drawing>
          <wp:anchor distT="0" distB="0" distL="114300" distR="114300" simplePos="0" relativeHeight="251658240" behindDoc="0" locked="0" layoutInCell="1" allowOverlap="1" wp14:anchorId="5BF73522" wp14:editId="32E530C9">
            <wp:simplePos x="0" y="0"/>
            <wp:positionH relativeFrom="margin">
              <wp:align>right</wp:align>
            </wp:positionH>
            <wp:positionV relativeFrom="margin">
              <wp:posOffset>23495</wp:posOffset>
            </wp:positionV>
            <wp:extent cx="5271135" cy="744855"/>
            <wp:effectExtent l="0" t="0" r="5715" b="0"/>
            <wp:wrapThrough wrapText="bothSides">
              <wp:wrapPolygon edited="0">
                <wp:start x="0" y="0"/>
                <wp:lineTo x="0" y="20992"/>
                <wp:lineTo x="21545" y="20992"/>
                <wp:lineTo x="21545" y="0"/>
                <wp:lineTo x="0" y="0"/>
              </wp:wrapPolygon>
            </wp:wrapThrough>
            <wp:docPr id="81369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135" cy="744855"/>
                    </a:xfrm>
                    <a:prstGeom prst="rect">
                      <a:avLst/>
                    </a:prstGeom>
                    <a:noFill/>
                  </pic:spPr>
                </pic:pic>
              </a:graphicData>
            </a:graphic>
            <wp14:sizeRelH relativeFrom="page">
              <wp14:pctWidth>0</wp14:pctWidth>
            </wp14:sizeRelH>
            <wp14:sizeRelV relativeFrom="page">
              <wp14:pctHeight>0</wp14:pctHeight>
            </wp14:sizeRelV>
          </wp:anchor>
        </w:drawing>
      </w:r>
      <w:r w:rsidR="0058426F" w:rsidRPr="00BD352B">
        <w:rPr>
          <w:rFonts w:ascii="Arial" w:hAnsi="Arial" w:cs="Arial"/>
          <w:b/>
          <w:bCs/>
          <w:sz w:val="32"/>
          <w:szCs w:val="32"/>
        </w:rPr>
        <w:t>ΕΝΗΜΕΡΩΤΙΚΟ ΕΝΤΥΠΟ</w:t>
      </w:r>
    </w:p>
    <w:p w14:paraId="08708741" w14:textId="77777777" w:rsidR="0058426F" w:rsidRDefault="0058426F" w:rsidP="004413F4">
      <w:pPr>
        <w:rPr>
          <w:rFonts w:ascii="Arial" w:hAnsi="Arial" w:cs="Arial"/>
          <w:sz w:val="24"/>
          <w:szCs w:val="24"/>
        </w:rPr>
      </w:pPr>
    </w:p>
    <w:p w14:paraId="50F36BE1" w14:textId="77777777" w:rsidR="00BD352B" w:rsidRDefault="00BD352B" w:rsidP="004413F4">
      <w:pPr>
        <w:rPr>
          <w:rFonts w:ascii="Arial" w:hAnsi="Arial" w:cs="Arial"/>
          <w:sz w:val="24"/>
          <w:szCs w:val="24"/>
        </w:rPr>
      </w:pPr>
    </w:p>
    <w:p w14:paraId="5B14E2C0" w14:textId="77777777" w:rsidR="00A7796A" w:rsidRDefault="00A7796A" w:rsidP="004413F4">
      <w:pPr>
        <w:jc w:val="center"/>
        <w:rPr>
          <w:rFonts w:ascii="Arial" w:hAnsi="Arial" w:cs="Arial"/>
          <w:b/>
          <w:bCs/>
          <w:sz w:val="36"/>
          <w:szCs w:val="36"/>
        </w:rPr>
      </w:pPr>
    </w:p>
    <w:p w14:paraId="3287A634" w14:textId="77777777" w:rsidR="00A7796A" w:rsidRDefault="00A7796A" w:rsidP="004413F4">
      <w:pPr>
        <w:rPr>
          <w:rFonts w:ascii="Arial" w:hAnsi="Arial" w:cs="Arial"/>
          <w:b/>
          <w:bCs/>
          <w:sz w:val="36"/>
          <w:szCs w:val="36"/>
        </w:rPr>
      </w:pPr>
    </w:p>
    <w:p w14:paraId="2F23B531" w14:textId="77777777" w:rsidR="00A7796A" w:rsidRDefault="00A7796A" w:rsidP="004413F4">
      <w:pPr>
        <w:jc w:val="center"/>
        <w:rPr>
          <w:rFonts w:ascii="Arial" w:hAnsi="Arial" w:cs="Arial"/>
          <w:b/>
          <w:bCs/>
          <w:sz w:val="36"/>
          <w:szCs w:val="36"/>
        </w:rPr>
      </w:pPr>
    </w:p>
    <w:p w14:paraId="598E24B8" w14:textId="77777777" w:rsidR="00A7796A" w:rsidRDefault="00A7796A" w:rsidP="004413F4">
      <w:pPr>
        <w:jc w:val="center"/>
        <w:rPr>
          <w:rFonts w:ascii="Arial" w:hAnsi="Arial" w:cs="Arial"/>
          <w:b/>
          <w:bCs/>
          <w:sz w:val="36"/>
          <w:szCs w:val="36"/>
        </w:rPr>
      </w:pPr>
    </w:p>
    <w:p w14:paraId="34194EFE" w14:textId="07EAE635" w:rsidR="0058426F" w:rsidRPr="00A7796A" w:rsidRDefault="0058426F" w:rsidP="004413F4">
      <w:pPr>
        <w:jc w:val="center"/>
        <w:rPr>
          <w:rFonts w:ascii="Arial" w:hAnsi="Arial" w:cs="Arial"/>
          <w:b/>
          <w:bCs/>
          <w:sz w:val="36"/>
          <w:szCs w:val="36"/>
        </w:rPr>
      </w:pPr>
      <w:r w:rsidRPr="00A7796A">
        <w:rPr>
          <w:rFonts w:ascii="Arial" w:hAnsi="Arial" w:cs="Arial"/>
          <w:b/>
          <w:bCs/>
          <w:sz w:val="36"/>
          <w:szCs w:val="36"/>
        </w:rPr>
        <w:t>Ειδικό Καθεστώς για τις Μικρές Επιχειρήσεις (</w:t>
      </w:r>
      <w:r w:rsidRPr="00A7796A">
        <w:rPr>
          <w:rFonts w:ascii="Arial" w:hAnsi="Arial" w:cs="Arial"/>
          <w:b/>
          <w:bCs/>
          <w:sz w:val="36"/>
          <w:szCs w:val="36"/>
          <w:lang w:val="en-US"/>
        </w:rPr>
        <w:t>SME</w:t>
      </w:r>
      <w:r w:rsidRPr="00A7796A">
        <w:rPr>
          <w:rFonts w:ascii="Arial" w:hAnsi="Arial" w:cs="Arial"/>
          <w:b/>
          <w:bCs/>
          <w:sz w:val="36"/>
          <w:szCs w:val="36"/>
        </w:rPr>
        <w:t>-</w:t>
      </w:r>
      <w:r w:rsidRPr="00A7796A">
        <w:rPr>
          <w:rFonts w:ascii="Arial" w:hAnsi="Arial" w:cs="Arial"/>
          <w:b/>
          <w:bCs/>
          <w:sz w:val="36"/>
          <w:szCs w:val="36"/>
          <w:lang w:val="en-US"/>
        </w:rPr>
        <w:t>SS</w:t>
      </w:r>
      <w:r w:rsidRPr="00A7796A">
        <w:rPr>
          <w:rFonts w:ascii="Arial" w:hAnsi="Arial" w:cs="Arial"/>
          <w:b/>
          <w:bCs/>
          <w:sz w:val="36"/>
          <w:szCs w:val="36"/>
        </w:rPr>
        <w:t>) – 1</w:t>
      </w:r>
      <w:r w:rsidRPr="00A7796A">
        <w:rPr>
          <w:rFonts w:ascii="Arial" w:hAnsi="Arial" w:cs="Arial"/>
          <w:b/>
          <w:bCs/>
          <w:sz w:val="36"/>
          <w:szCs w:val="36"/>
          <w:vertAlign w:val="superscript"/>
        </w:rPr>
        <w:t>η</w:t>
      </w:r>
      <w:r w:rsidRPr="00A7796A">
        <w:rPr>
          <w:rFonts w:ascii="Arial" w:hAnsi="Arial" w:cs="Arial"/>
          <w:b/>
          <w:bCs/>
          <w:sz w:val="36"/>
          <w:szCs w:val="36"/>
        </w:rPr>
        <w:t xml:space="preserve"> Ιανουαρίου 2025</w:t>
      </w:r>
    </w:p>
    <w:p w14:paraId="2021AFFF" w14:textId="77777777" w:rsidR="00BD352B" w:rsidRDefault="00BD352B" w:rsidP="004413F4">
      <w:pPr>
        <w:rPr>
          <w:rFonts w:ascii="Arial" w:hAnsi="Arial" w:cs="Arial"/>
          <w:sz w:val="24"/>
          <w:szCs w:val="24"/>
        </w:rPr>
      </w:pPr>
    </w:p>
    <w:p w14:paraId="0269A4F5" w14:textId="77777777" w:rsidR="003646A8" w:rsidRDefault="003646A8" w:rsidP="004413F4">
      <w:pPr>
        <w:pStyle w:val="Default"/>
        <w:spacing w:after="160"/>
      </w:pPr>
    </w:p>
    <w:p w14:paraId="3533B03C" w14:textId="2FB87C1D" w:rsidR="00BD352B" w:rsidRPr="0046678F" w:rsidRDefault="0046678F" w:rsidP="004413F4">
      <w:pPr>
        <w:rPr>
          <w:rFonts w:ascii="Arial" w:hAnsi="Arial" w:cs="Arial"/>
          <w:sz w:val="24"/>
          <w:szCs w:val="24"/>
        </w:rPr>
      </w:pPr>
      <w:r>
        <w:rPr>
          <w:rFonts w:ascii="Arial" w:hAnsi="Arial" w:cs="Arial"/>
          <w:sz w:val="24"/>
          <w:szCs w:val="24"/>
        </w:rPr>
        <w:t>______________________________________________________________</w:t>
      </w:r>
    </w:p>
    <w:p w14:paraId="6BBD89D4" w14:textId="7699D959" w:rsidR="00BD352B" w:rsidRPr="007708B8" w:rsidRDefault="0046678F" w:rsidP="004413F4">
      <w:pPr>
        <w:jc w:val="both"/>
        <w:rPr>
          <w:rFonts w:ascii="Arial" w:hAnsi="Arial" w:cs="Arial"/>
          <w:b/>
          <w:bCs/>
          <w:sz w:val="28"/>
          <w:szCs w:val="28"/>
        </w:rPr>
      </w:pPr>
      <w:r w:rsidRPr="007708B8">
        <w:rPr>
          <w:rFonts w:ascii="Arial" w:hAnsi="Arial" w:cs="Arial"/>
          <w:b/>
          <w:bCs/>
          <w:sz w:val="28"/>
          <w:szCs w:val="28"/>
        </w:rPr>
        <w:t>Το έγγραφο θα πρέπει να διαβάζεται μαζί με τ</w:t>
      </w:r>
      <w:r w:rsidR="006C07C5" w:rsidRPr="007708B8">
        <w:rPr>
          <w:rFonts w:ascii="Arial" w:hAnsi="Arial" w:cs="Arial"/>
          <w:b/>
          <w:bCs/>
          <w:sz w:val="28"/>
          <w:szCs w:val="28"/>
        </w:rPr>
        <w:t>ην</w:t>
      </w:r>
      <w:r w:rsidRPr="007708B8">
        <w:rPr>
          <w:rFonts w:ascii="Arial" w:hAnsi="Arial" w:cs="Arial"/>
          <w:b/>
          <w:bCs/>
          <w:sz w:val="28"/>
          <w:szCs w:val="28"/>
        </w:rPr>
        <w:t xml:space="preserve"> Ευρωπαϊκ</w:t>
      </w:r>
      <w:r w:rsidR="006C07C5" w:rsidRPr="007708B8">
        <w:rPr>
          <w:rFonts w:ascii="Arial" w:hAnsi="Arial" w:cs="Arial"/>
          <w:b/>
          <w:bCs/>
          <w:sz w:val="28"/>
          <w:szCs w:val="28"/>
        </w:rPr>
        <w:t>ή</w:t>
      </w:r>
      <w:r w:rsidRPr="007708B8">
        <w:rPr>
          <w:rFonts w:ascii="Arial" w:hAnsi="Arial" w:cs="Arial"/>
          <w:b/>
          <w:bCs/>
          <w:sz w:val="28"/>
          <w:szCs w:val="28"/>
        </w:rPr>
        <w:t xml:space="preserve"> Οδηγί</w:t>
      </w:r>
      <w:r w:rsidR="006C07C5" w:rsidRPr="007708B8">
        <w:rPr>
          <w:rFonts w:ascii="Arial" w:hAnsi="Arial" w:cs="Arial"/>
          <w:b/>
          <w:bCs/>
          <w:sz w:val="28"/>
          <w:szCs w:val="28"/>
        </w:rPr>
        <w:t>α</w:t>
      </w:r>
      <w:r w:rsidRPr="007708B8">
        <w:rPr>
          <w:rFonts w:ascii="Arial" w:hAnsi="Arial" w:cs="Arial"/>
          <w:b/>
          <w:bCs/>
          <w:sz w:val="28"/>
          <w:szCs w:val="28"/>
        </w:rPr>
        <w:t xml:space="preserve"> (ΕΕ) </w:t>
      </w:r>
      <w:r w:rsidR="006C07C5" w:rsidRPr="007708B8">
        <w:rPr>
          <w:rFonts w:ascii="Arial" w:hAnsi="Arial" w:cs="Arial"/>
          <w:b/>
          <w:bCs/>
          <w:sz w:val="28"/>
          <w:szCs w:val="28"/>
        </w:rPr>
        <w:t>2020</w:t>
      </w:r>
      <w:r w:rsidRPr="007708B8">
        <w:rPr>
          <w:rFonts w:ascii="Arial" w:hAnsi="Arial" w:cs="Arial"/>
          <w:b/>
          <w:bCs/>
          <w:sz w:val="28"/>
          <w:szCs w:val="28"/>
        </w:rPr>
        <w:t>/</w:t>
      </w:r>
      <w:r w:rsidR="001309F9" w:rsidRPr="001309F9">
        <w:rPr>
          <w:rFonts w:ascii="Arial" w:hAnsi="Arial" w:cs="Arial"/>
          <w:b/>
          <w:bCs/>
          <w:sz w:val="28"/>
          <w:szCs w:val="28"/>
        </w:rPr>
        <w:t>28</w:t>
      </w:r>
      <w:r w:rsidR="001309F9" w:rsidRPr="00511000">
        <w:rPr>
          <w:rFonts w:ascii="Arial" w:hAnsi="Arial" w:cs="Arial"/>
          <w:b/>
          <w:bCs/>
          <w:sz w:val="28"/>
          <w:szCs w:val="28"/>
        </w:rPr>
        <w:t>5</w:t>
      </w:r>
      <w:r w:rsidRPr="007708B8">
        <w:rPr>
          <w:rFonts w:ascii="Arial" w:hAnsi="Arial" w:cs="Arial"/>
          <w:b/>
          <w:bCs/>
          <w:sz w:val="28"/>
          <w:szCs w:val="28"/>
        </w:rPr>
        <w:t xml:space="preserve"> και τον Εκτελεστικό Κανονισμό (ΕΕ) </w:t>
      </w:r>
      <w:r w:rsidR="004356DF" w:rsidRPr="004356DF">
        <w:rPr>
          <w:rFonts w:ascii="Arial" w:hAnsi="Arial" w:cs="Arial"/>
          <w:b/>
          <w:bCs/>
          <w:sz w:val="28"/>
          <w:szCs w:val="28"/>
        </w:rPr>
        <w:t>2021</w:t>
      </w:r>
      <w:r w:rsidRPr="007708B8">
        <w:rPr>
          <w:rFonts w:ascii="Arial" w:hAnsi="Arial" w:cs="Arial"/>
          <w:b/>
          <w:bCs/>
          <w:sz w:val="28"/>
          <w:szCs w:val="28"/>
        </w:rPr>
        <w:t>/</w:t>
      </w:r>
      <w:r w:rsidR="006C07C5" w:rsidRPr="007708B8">
        <w:rPr>
          <w:rFonts w:ascii="Arial" w:hAnsi="Arial" w:cs="Arial"/>
          <w:b/>
          <w:bCs/>
          <w:sz w:val="28"/>
          <w:szCs w:val="28"/>
        </w:rPr>
        <w:t>2</w:t>
      </w:r>
      <w:r w:rsidR="004356DF" w:rsidRPr="004356DF">
        <w:rPr>
          <w:rFonts w:ascii="Arial" w:hAnsi="Arial" w:cs="Arial"/>
          <w:b/>
          <w:bCs/>
          <w:sz w:val="28"/>
          <w:szCs w:val="28"/>
        </w:rPr>
        <w:t>00</w:t>
      </w:r>
      <w:r w:rsidR="004356DF" w:rsidRPr="001309F9">
        <w:rPr>
          <w:rFonts w:ascii="Arial" w:hAnsi="Arial" w:cs="Arial"/>
          <w:b/>
          <w:bCs/>
          <w:sz w:val="28"/>
          <w:szCs w:val="28"/>
        </w:rPr>
        <w:t>7</w:t>
      </w:r>
      <w:r w:rsidRPr="007708B8">
        <w:rPr>
          <w:rFonts w:ascii="Arial" w:hAnsi="Arial" w:cs="Arial"/>
          <w:b/>
          <w:bCs/>
          <w:sz w:val="28"/>
          <w:szCs w:val="28"/>
        </w:rPr>
        <w:t xml:space="preserve"> του Συμβουλίου.</w:t>
      </w:r>
    </w:p>
    <w:p w14:paraId="2BEA86DE" w14:textId="77777777" w:rsidR="0046678F" w:rsidRPr="0046678F" w:rsidRDefault="0046678F" w:rsidP="004413F4">
      <w:pPr>
        <w:rPr>
          <w:rFonts w:ascii="Arial" w:hAnsi="Arial" w:cs="Arial"/>
          <w:sz w:val="24"/>
          <w:szCs w:val="24"/>
        </w:rPr>
      </w:pPr>
      <w:r>
        <w:rPr>
          <w:rFonts w:ascii="Arial" w:hAnsi="Arial" w:cs="Arial"/>
          <w:sz w:val="24"/>
          <w:szCs w:val="24"/>
        </w:rPr>
        <w:t>______________________________________________________________</w:t>
      </w:r>
    </w:p>
    <w:p w14:paraId="3D1D664E" w14:textId="77777777" w:rsidR="0046678F" w:rsidRDefault="0046678F" w:rsidP="004413F4">
      <w:pPr>
        <w:rPr>
          <w:rFonts w:ascii="Arial" w:hAnsi="Arial" w:cs="Arial"/>
          <w:sz w:val="24"/>
          <w:szCs w:val="24"/>
        </w:rPr>
      </w:pPr>
    </w:p>
    <w:p w14:paraId="59CC17D9" w14:textId="77777777" w:rsidR="00BD352B" w:rsidRDefault="00BD352B" w:rsidP="004413F4">
      <w:pPr>
        <w:rPr>
          <w:rFonts w:ascii="Arial" w:hAnsi="Arial" w:cs="Arial"/>
          <w:sz w:val="24"/>
          <w:szCs w:val="24"/>
        </w:rPr>
      </w:pPr>
    </w:p>
    <w:p w14:paraId="03E914BB" w14:textId="77777777" w:rsidR="00BD352B" w:rsidRDefault="00BD352B" w:rsidP="004413F4">
      <w:pPr>
        <w:rPr>
          <w:rFonts w:ascii="Arial" w:hAnsi="Arial" w:cs="Arial"/>
          <w:sz w:val="24"/>
          <w:szCs w:val="24"/>
        </w:rPr>
      </w:pPr>
    </w:p>
    <w:p w14:paraId="154240E8" w14:textId="77777777" w:rsidR="00BD352B" w:rsidRDefault="00BD352B" w:rsidP="004413F4">
      <w:pPr>
        <w:rPr>
          <w:rFonts w:ascii="Arial" w:hAnsi="Arial" w:cs="Arial"/>
          <w:sz w:val="24"/>
          <w:szCs w:val="24"/>
        </w:rPr>
      </w:pPr>
    </w:p>
    <w:p w14:paraId="5EADAE04" w14:textId="77777777" w:rsidR="00BD352B" w:rsidRDefault="00BD352B" w:rsidP="004413F4">
      <w:pPr>
        <w:rPr>
          <w:rFonts w:ascii="Arial" w:hAnsi="Arial" w:cs="Arial"/>
          <w:sz w:val="24"/>
          <w:szCs w:val="24"/>
        </w:rPr>
      </w:pPr>
    </w:p>
    <w:p w14:paraId="37125046" w14:textId="77777777" w:rsidR="0046678F" w:rsidRDefault="0046678F" w:rsidP="004413F4">
      <w:pPr>
        <w:rPr>
          <w:rFonts w:ascii="Arial" w:hAnsi="Arial" w:cs="Arial"/>
          <w:sz w:val="24"/>
          <w:szCs w:val="24"/>
        </w:rPr>
      </w:pPr>
    </w:p>
    <w:p w14:paraId="3C9367C8" w14:textId="77777777" w:rsidR="00BD352B" w:rsidRDefault="00BD352B" w:rsidP="004413F4">
      <w:pPr>
        <w:rPr>
          <w:rFonts w:ascii="Arial" w:hAnsi="Arial" w:cs="Arial"/>
          <w:sz w:val="24"/>
          <w:szCs w:val="24"/>
        </w:rPr>
      </w:pPr>
    </w:p>
    <w:p w14:paraId="69AF4762" w14:textId="77777777" w:rsidR="00FD2095" w:rsidRDefault="00FD2095" w:rsidP="004413F4">
      <w:pPr>
        <w:rPr>
          <w:rFonts w:ascii="Arial" w:hAnsi="Arial" w:cs="Arial"/>
          <w:sz w:val="24"/>
          <w:szCs w:val="24"/>
        </w:rPr>
      </w:pPr>
    </w:p>
    <w:p w14:paraId="7E8CD940" w14:textId="7A52B502" w:rsidR="00FD2095" w:rsidRDefault="00BD352B" w:rsidP="004413F4">
      <w:pPr>
        <w:jc w:val="center"/>
        <w:rPr>
          <w:b/>
          <w:bCs/>
        </w:rPr>
      </w:pPr>
      <w:r w:rsidRPr="00BD352B">
        <w:rPr>
          <w:rFonts w:ascii="Arial" w:hAnsi="Arial" w:cs="Arial"/>
          <w:b/>
          <w:bCs/>
          <w:sz w:val="24"/>
          <w:szCs w:val="24"/>
        </w:rPr>
        <w:t>ΔΕΚΕΜΒΡΙΟΣ 2023</w:t>
      </w:r>
    </w:p>
    <w:p w14:paraId="42ED0D72" w14:textId="5F767EAC" w:rsidR="00BD352B" w:rsidRPr="007708B8" w:rsidRDefault="007708B8" w:rsidP="000D3222">
      <w:pPr>
        <w:pStyle w:val="ListParagraph"/>
        <w:numPr>
          <w:ilvl w:val="0"/>
          <w:numId w:val="1"/>
        </w:numPr>
        <w:spacing w:before="160"/>
        <w:jc w:val="both"/>
        <w:rPr>
          <w:rFonts w:ascii="Arial" w:hAnsi="Arial" w:cs="Arial"/>
          <w:b/>
          <w:bCs/>
          <w:sz w:val="24"/>
          <w:szCs w:val="24"/>
        </w:rPr>
      </w:pPr>
      <w:r w:rsidRPr="007708B8">
        <w:rPr>
          <w:rFonts w:ascii="Arial" w:hAnsi="Arial" w:cs="Arial"/>
          <w:b/>
          <w:bCs/>
          <w:sz w:val="24"/>
          <w:szCs w:val="24"/>
        </w:rPr>
        <w:lastRenderedPageBreak/>
        <w:t>Εισαγωγή</w:t>
      </w:r>
    </w:p>
    <w:p w14:paraId="2809AC22" w14:textId="45EC9C83" w:rsidR="007708B8" w:rsidRDefault="00DD7F39" w:rsidP="00A74CA8">
      <w:pPr>
        <w:spacing w:before="160"/>
        <w:jc w:val="both"/>
        <w:rPr>
          <w:rFonts w:ascii="Arial" w:hAnsi="Arial" w:cs="Arial"/>
          <w:sz w:val="24"/>
          <w:szCs w:val="24"/>
        </w:rPr>
      </w:pPr>
      <w:r w:rsidRPr="00DD7F39">
        <w:rPr>
          <w:rFonts w:ascii="Arial" w:hAnsi="Arial" w:cs="Arial"/>
          <w:sz w:val="24"/>
          <w:szCs w:val="24"/>
        </w:rPr>
        <w:t>Σκοπός αυτού του ενημερωτικού φυλλαδίου είναι να</w:t>
      </w:r>
      <w:r w:rsidR="00CC14C6">
        <w:rPr>
          <w:rFonts w:ascii="Arial" w:hAnsi="Arial" w:cs="Arial"/>
          <w:sz w:val="24"/>
          <w:szCs w:val="24"/>
        </w:rPr>
        <w:t xml:space="preserve"> </w:t>
      </w:r>
      <w:r w:rsidR="002A636D">
        <w:rPr>
          <w:rFonts w:ascii="Arial" w:hAnsi="Arial" w:cs="Arial"/>
          <w:sz w:val="24"/>
          <w:szCs w:val="24"/>
        </w:rPr>
        <w:t>σκι</w:t>
      </w:r>
      <w:r w:rsidR="002A636D" w:rsidRPr="002A636D">
        <w:rPr>
          <w:rFonts w:ascii="Arial" w:hAnsi="Arial" w:cs="Arial"/>
          <w:sz w:val="24"/>
          <w:szCs w:val="24"/>
        </w:rPr>
        <w:t>αγραφήσει τους νέους</w:t>
      </w:r>
      <w:r w:rsidR="00C046F1">
        <w:rPr>
          <w:rFonts w:ascii="Arial" w:hAnsi="Arial" w:cs="Arial"/>
          <w:sz w:val="24"/>
          <w:szCs w:val="24"/>
        </w:rPr>
        <w:t xml:space="preserve"> </w:t>
      </w:r>
      <w:r w:rsidR="002A636D" w:rsidRPr="002A636D">
        <w:rPr>
          <w:rFonts w:ascii="Arial" w:hAnsi="Arial" w:cs="Arial"/>
          <w:sz w:val="24"/>
          <w:szCs w:val="24"/>
        </w:rPr>
        <w:t xml:space="preserve">κανόνες ΦΠΑ </w:t>
      </w:r>
      <w:r w:rsidR="002A636D">
        <w:rPr>
          <w:rFonts w:ascii="Arial" w:hAnsi="Arial" w:cs="Arial"/>
          <w:sz w:val="24"/>
          <w:szCs w:val="24"/>
        </w:rPr>
        <w:t xml:space="preserve">για τις </w:t>
      </w:r>
      <w:r w:rsidR="001E56BE">
        <w:rPr>
          <w:rFonts w:ascii="Arial" w:hAnsi="Arial" w:cs="Arial"/>
          <w:sz w:val="24"/>
          <w:szCs w:val="24"/>
        </w:rPr>
        <w:t xml:space="preserve">δραστηριότητες των </w:t>
      </w:r>
      <w:r w:rsidR="002A636D">
        <w:rPr>
          <w:rFonts w:ascii="Arial" w:hAnsi="Arial" w:cs="Arial"/>
          <w:sz w:val="24"/>
          <w:szCs w:val="24"/>
        </w:rPr>
        <w:t>μικρ</w:t>
      </w:r>
      <w:r w:rsidR="001E56BE">
        <w:rPr>
          <w:rFonts w:ascii="Arial" w:hAnsi="Arial" w:cs="Arial"/>
          <w:sz w:val="24"/>
          <w:szCs w:val="24"/>
        </w:rPr>
        <w:t>ών</w:t>
      </w:r>
      <w:r w:rsidR="002A636D">
        <w:rPr>
          <w:rFonts w:ascii="Arial" w:hAnsi="Arial" w:cs="Arial"/>
          <w:sz w:val="24"/>
          <w:szCs w:val="24"/>
        </w:rPr>
        <w:t xml:space="preserve"> επιχειρήσε</w:t>
      </w:r>
      <w:r w:rsidR="001E56BE">
        <w:rPr>
          <w:rFonts w:ascii="Arial" w:hAnsi="Arial" w:cs="Arial"/>
          <w:sz w:val="24"/>
          <w:szCs w:val="24"/>
        </w:rPr>
        <w:t xml:space="preserve">ων </w:t>
      </w:r>
      <w:r w:rsidR="002A636D" w:rsidRPr="002A636D">
        <w:rPr>
          <w:rFonts w:ascii="Arial" w:hAnsi="Arial" w:cs="Arial"/>
          <w:sz w:val="24"/>
          <w:szCs w:val="24"/>
        </w:rPr>
        <w:t>στην ΕΕ με</w:t>
      </w:r>
      <w:r w:rsidR="00C046F1">
        <w:rPr>
          <w:rFonts w:ascii="Arial" w:hAnsi="Arial" w:cs="Arial"/>
          <w:sz w:val="24"/>
          <w:szCs w:val="24"/>
        </w:rPr>
        <w:t xml:space="preserve"> </w:t>
      </w:r>
      <w:r w:rsidR="002A636D" w:rsidRPr="002A636D">
        <w:rPr>
          <w:rFonts w:ascii="Arial" w:hAnsi="Arial" w:cs="Arial"/>
          <w:sz w:val="24"/>
          <w:szCs w:val="24"/>
        </w:rPr>
        <w:t xml:space="preserve">ισχύ από την </w:t>
      </w:r>
      <w:r w:rsidR="002A636D">
        <w:rPr>
          <w:rFonts w:ascii="Arial" w:hAnsi="Arial" w:cs="Arial"/>
          <w:sz w:val="24"/>
          <w:szCs w:val="24"/>
        </w:rPr>
        <w:t>1</w:t>
      </w:r>
      <w:r w:rsidR="002A636D" w:rsidRPr="002A636D">
        <w:rPr>
          <w:rFonts w:ascii="Arial" w:hAnsi="Arial" w:cs="Arial"/>
          <w:sz w:val="24"/>
          <w:szCs w:val="24"/>
          <w:vertAlign w:val="superscript"/>
        </w:rPr>
        <w:t>η</w:t>
      </w:r>
      <w:r w:rsidR="002A636D" w:rsidRPr="002A636D">
        <w:rPr>
          <w:rFonts w:ascii="Arial" w:hAnsi="Arial" w:cs="Arial"/>
          <w:sz w:val="24"/>
          <w:szCs w:val="24"/>
        </w:rPr>
        <w:t xml:space="preserve"> Ι</w:t>
      </w:r>
      <w:r w:rsidR="002A636D">
        <w:rPr>
          <w:rFonts w:ascii="Arial" w:hAnsi="Arial" w:cs="Arial"/>
          <w:sz w:val="24"/>
          <w:szCs w:val="24"/>
        </w:rPr>
        <w:t>ανουαρίου</w:t>
      </w:r>
      <w:r w:rsidR="002A636D" w:rsidRPr="002A636D">
        <w:rPr>
          <w:rFonts w:ascii="Arial" w:hAnsi="Arial" w:cs="Arial"/>
          <w:sz w:val="24"/>
          <w:szCs w:val="24"/>
        </w:rPr>
        <w:t xml:space="preserve"> 202</w:t>
      </w:r>
      <w:r w:rsidR="002A636D">
        <w:rPr>
          <w:rFonts w:ascii="Arial" w:hAnsi="Arial" w:cs="Arial"/>
          <w:sz w:val="24"/>
          <w:szCs w:val="24"/>
        </w:rPr>
        <w:t>5</w:t>
      </w:r>
      <w:r w:rsidR="002A636D" w:rsidRPr="002A636D">
        <w:rPr>
          <w:rFonts w:ascii="Arial" w:hAnsi="Arial" w:cs="Arial"/>
          <w:sz w:val="24"/>
          <w:szCs w:val="24"/>
        </w:rPr>
        <w:t>.</w:t>
      </w:r>
    </w:p>
    <w:p w14:paraId="110EB2B0" w14:textId="31E98FD9" w:rsidR="000144ED" w:rsidRDefault="009541B9" w:rsidP="00A74CA8">
      <w:pPr>
        <w:pStyle w:val="ListParagraph"/>
        <w:numPr>
          <w:ilvl w:val="0"/>
          <w:numId w:val="1"/>
        </w:numPr>
        <w:spacing w:before="160"/>
        <w:jc w:val="both"/>
        <w:rPr>
          <w:rFonts w:ascii="Arial" w:hAnsi="Arial" w:cs="Arial"/>
          <w:b/>
          <w:bCs/>
          <w:sz w:val="24"/>
          <w:szCs w:val="24"/>
        </w:rPr>
      </w:pPr>
      <w:r>
        <w:rPr>
          <w:rFonts w:ascii="Arial" w:hAnsi="Arial" w:cs="Arial"/>
          <w:b/>
          <w:bCs/>
          <w:sz w:val="24"/>
          <w:szCs w:val="24"/>
        </w:rPr>
        <w:t>Τι ισχύει σήμερα</w:t>
      </w:r>
    </w:p>
    <w:p w14:paraId="194FAD31" w14:textId="77777777" w:rsidR="00A74CA8" w:rsidRDefault="00A74CA8" w:rsidP="00A74CA8">
      <w:pPr>
        <w:spacing w:before="160"/>
        <w:jc w:val="both"/>
        <w:rPr>
          <w:rFonts w:ascii="Arial" w:hAnsi="Arial" w:cs="Arial"/>
          <w:sz w:val="24"/>
          <w:szCs w:val="24"/>
        </w:rPr>
      </w:pPr>
      <w:r w:rsidRPr="00365800">
        <w:rPr>
          <w:rFonts w:ascii="Arial" w:hAnsi="Arial" w:cs="Arial"/>
          <w:sz w:val="24"/>
          <w:szCs w:val="24"/>
        </w:rPr>
        <w:t>Οι μικρές επιχειρήσεις επωμίζονται αναλογικά υψηλότερο κόστος συμμόρφωσης στην εφαρμογή των κανόνων του ΦΠΑ (εγγραφή στο ΦΠΑ, έκδοση τιμολογίων, υποβολή δηλώσεων ΦΠΑ, υποβολή ανακεφαλαιωτικών δηλώσεων, λογιστικό κόστος κ.λπ.) από τις μεγάλες επιχειρήσεις λόγω των πιο περιορισμένων πόρων που διαθέτουν, της πολυπλοκότητας και του κατακερματισμού του συστήματος ΦΠΑ της Ε.Ε.</w:t>
      </w:r>
    </w:p>
    <w:p w14:paraId="20B3F00B" w14:textId="079E53E1" w:rsidR="00A74CA8" w:rsidRPr="00A27392" w:rsidRDefault="00A74CA8" w:rsidP="00A74CA8">
      <w:pPr>
        <w:spacing w:before="160"/>
        <w:jc w:val="both"/>
        <w:rPr>
          <w:rFonts w:ascii="Arial" w:hAnsi="Arial" w:cs="Arial"/>
          <w:sz w:val="24"/>
          <w:szCs w:val="24"/>
        </w:rPr>
      </w:pPr>
      <w:r w:rsidRPr="00A27392">
        <w:rPr>
          <w:rFonts w:ascii="Arial" w:hAnsi="Arial" w:cs="Arial"/>
          <w:sz w:val="24"/>
          <w:szCs w:val="24"/>
        </w:rPr>
        <w:t xml:space="preserve">Για να μειωθεί αυτή η επιβάρυνση που αντιμετωπίζουν οι μικρές επιχειρήσεις όσον αφορά το ΦΠΑ, δημιουργήθηκε το ειδικό καθεστώς για τις μικρές επιχειρήσεις (SME-SS), το οποίο </w:t>
      </w:r>
      <w:r w:rsidRPr="009541B9">
        <w:rPr>
          <w:rFonts w:ascii="Arial" w:hAnsi="Arial" w:cs="Arial"/>
          <w:sz w:val="24"/>
          <w:szCs w:val="24"/>
        </w:rPr>
        <w:t>επιτρέπει</w:t>
      </w:r>
      <w:r w:rsidRPr="00A27392">
        <w:rPr>
          <w:rFonts w:ascii="Arial" w:hAnsi="Arial" w:cs="Arial"/>
          <w:sz w:val="24"/>
          <w:szCs w:val="24"/>
        </w:rPr>
        <w:t xml:space="preserve"> στα Κράτη Μέλη:</w:t>
      </w:r>
    </w:p>
    <w:p w14:paraId="320C9529" w14:textId="48ABFDC3" w:rsidR="00A74CA8" w:rsidRPr="004358D3" w:rsidRDefault="006E7D5F" w:rsidP="00A74CA8">
      <w:pPr>
        <w:pStyle w:val="ListParagraph"/>
        <w:numPr>
          <w:ilvl w:val="0"/>
          <w:numId w:val="9"/>
        </w:numPr>
        <w:spacing w:before="160"/>
        <w:jc w:val="both"/>
        <w:rPr>
          <w:rFonts w:ascii="Arial" w:hAnsi="Arial" w:cs="Arial"/>
          <w:sz w:val="24"/>
          <w:szCs w:val="24"/>
        </w:rPr>
      </w:pPr>
      <w:r>
        <w:rPr>
          <w:rFonts w:ascii="Arial" w:hAnsi="Arial" w:cs="Arial"/>
          <w:sz w:val="24"/>
          <w:szCs w:val="24"/>
        </w:rPr>
        <w:t xml:space="preserve">να </w:t>
      </w:r>
      <w:r w:rsidR="00A74CA8" w:rsidRPr="004358D3">
        <w:rPr>
          <w:rFonts w:ascii="Arial" w:hAnsi="Arial" w:cs="Arial"/>
          <w:sz w:val="24"/>
          <w:szCs w:val="24"/>
        </w:rPr>
        <w:t>παρέχουν απλουστευμένες διαδικασίες χρέωσης και είσπραξης του ΦΠΑ και</w:t>
      </w:r>
    </w:p>
    <w:p w14:paraId="791EADBB" w14:textId="7FE72E11" w:rsidR="009541B9" w:rsidRDefault="009541B9" w:rsidP="00A83813">
      <w:pPr>
        <w:pStyle w:val="ListParagraph"/>
        <w:numPr>
          <w:ilvl w:val="0"/>
          <w:numId w:val="9"/>
        </w:numPr>
        <w:spacing w:before="160"/>
        <w:jc w:val="both"/>
        <w:rPr>
          <w:rFonts w:ascii="Arial" w:hAnsi="Arial" w:cs="Arial"/>
          <w:sz w:val="24"/>
          <w:szCs w:val="24"/>
        </w:rPr>
      </w:pPr>
      <w:r w:rsidRPr="009541B9">
        <w:rPr>
          <w:rFonts w:ascii="Arial" w:hAnsi="Arial" w:cs="Arial"/>
          <w:sz w:val="24"/>
          <w:szCs w:val="24"/>
        </w:rPr>
        <w:t>να απαλλάσσουν τις επιχειρήσεις με ετήσιο κύκλο εργασιών κάτω από ένα συγκεκριμένο όριο από το να χρεώνουν και να αφαιρούν το ΦΠΑ ή να τους χορηγούν κλιμακωτή φορολογική ελάφρυνση</w:t>
      </w:r>
    </w:p>
    <w:p w14:paraId="1572F274" w14:textId="54C977E6" w:rsidR="009541B9" w:rsidRDefault="009541B9" w:rsidP="009541B9">
      <w:pPr>
        <w:spacing w:before="160"/>
        <w:jc w:val="both"/>
        <w:rPr>
          <w:rFonts w:ascii="Arial" w:hAnsi="Arial" w:cs="Arial"/>
          <w:sz w:val="24"/>
          <w:szCs w:val="24"/>
        </w:rPr>
      </w:pPr>
      <w:r>
        <w:rPr>
          <w:rFonts w:ascii="Arial" w:hAnsi="Arial" w:cs="Arial"/>
          <w:sz w:val="24"/>
          <w:szCs w:val="24"/>
        </w:rPr>
        <w:t xml:space="preserve">Δηλαδή </w:t>
      </w:r>
      <w:r w:rsidRPr="009541B9">
        <w:rPr>
          <w:rFonts w:ascii="Arial" w:hAnsi="Arial" w:cs="Arial"/>
          <w:sz w:val="24"/>
          <w:szCs w:val="24"/>
        </w:rPr>
        <w:t xml:space="preserve">ένα υποκείμενο στο φόρο πρόσωπο μπορεί να απαλλάξει από τον ΦΠΑ όλες τις παραδόσεις αγαθών και τις παροχές υπηρεσιών του, δηλαδή να μη χρεώνει ΦΠΑ στους πελάτες του, εάν ο ετήσιος κύκλος εργασιών του παραμένει κάτω από ένα όριο που καθορίζεται από το κάθε Κράτος Μέλος και το οποίο στη Κύπρο είναι €15.600. </w:t>
      </w:r>
    </w:p>
    <w:p w14:paraId="5B303F7A" w14:textId="4112D75B" w:rsidR="002D5B72" w:rsidRPr="009541B9" w:rsidRDefault="00075936" w:rsidP="009541B9">
      <w:pPr>
        <w:pStyle w:val="ListParagraph"/>
        <w:numPr>
          <w:ilvl w:val="0"/>
          <w:numId w:val="1"/>
        </w:numPr>
        <w:spacing w:before="160"/>
        <w:jc w:val="both"/>
        <w:rPr>
          <w:rFonts w:ascii="Arial" w:hAnsi="Arial" w:cs="Arial"/>
          <w:b/>
          <w:bCs/>
          <w:sz w:val="24"/>
          <w:szCs w:val="24"/>
        </w:rPr>
      </w:pPr>
      <w:r w:rsidRPr="009541B9">
        <w:rPr>
          <w:rFonts w:ascii="Arial" w:hAnsi="Arial" w:cs="Arial"/>
          <w:b/>
          <w:bCs/>
          <w:sz w:val="24"/>
          <w:szCs w:val="24"/>
        </w:rPr>
        <w:t xml:space="preserve">Τι αλλάζει από την </w:t>
      </w:r>
      <w:r w:rsidR="00125608">
        <w:rPr>
          <w:rFonts w:ascii="Arial" w:hAnsi="Arial" w:cs="Arial"/>
          <w:b/>
          <w:bCs/>
          <w:sz w:val="24"/>
          <w:szCs w:val="24"/>
        </w:rPr>
        <w:t>1</w:t>
      </w:r>
      <w:r w:rsidR="00125608" w:rsidRPr="00125608">
        <w:rPr>
          <w:rFonts w:ascii="Arial" w:hAnsi="Arial" w:cs="Arial"/>
          <w:b/>
          <w:bCs/>
          <w:sz w:val="24"/>
          <w:szCs w:val="24"/>
          <w:vertAlign w:val="superscript"/>
        </w:rPr>
        <w:t>η</w:t>
      </w:r>
      <w:r w:rsidRPr="009541B9">
        <w:rPr>
          <w:rFonts w:ascii="Arial" w:hAnsi="Arial" w:cs="Arial"/>
          <w:b/>
          <w:bCs/>
          <w:sz w:val="24"/>
          <w:szCs w:val="24"/>
        </w:rPr>
        <w:t xml:space="preserve"> Ιανουαρίου 2025</w:t>
      </w:r>
    </w:p>
    <w:p w14:paraId="37B4BBB6" w14:textId="02E6B15C" w:rsidR="00667EED" w:rsidRDefault="00667EED" w:rsidP="00A74CA8">
      <w:pPr>
        <w:spacing w:before="160"/>
        <w:jc w:val="both"/>
        <w:rPr>
          <w:rFonts w:ascii="Arial" w:hAnsi="Arial" w:cs="Arial"/>
          <w:sz w:val="24"/>
          <w:szCs w:val="24"/>
        </w:rPr>
      </w:pPr>
      <w:r w:rsidRPr="00667EED">
        <w:rPr>
          <w:rFonts w:ascii="Arial" w:hAnsi="Arial" w:cs="Arial"/>
          <w:sz w:val="24"/>
          <w:szCs w:val="24"/>
        </w:rPr>
        <w:t>Το ειδικό καθεστώς για τις μικρές επιχειρήσεις επιτρέπει επί του παρόντος μόνο τη χορήγηση απαλλαγής</w:t>
      </w:r>
      <w:r w:rsidR="00E504DF">
        <w:rPr>
          <w:rFonts w:ascii="Arial" w:hAnsi="Arial" w:cs="Arial"/>
          <w:sz w:val="24"/>
          <w:szCs w:val="24"/>
        </w:rPr>
        <w:t>,</w:t>
      </w:r>
      <w:r w:rsidRPr="00667EED">
        <w:rPr>
          <w:rFonts w:ascii="Arial" w:hAnsi="Arial" w:cs="Arial"/>
          <w:sz w:val="24"/>
          <w:szCs w:val="24"/>
        </w:rPr>
        <w:t xml:space="preserve"> σε επιχειρήσεις που είναι εγκατεστημένες στο κράτος μέλος στο οποίο οφείλεται ο ΦΠΑ. Το γεγονός αυτό έχει αρνητικές επιπτώσεις στον ανταγωνισμό στην εσωτερική αγορά για τις μη εγκατεστημένες στο εν λόγω κράτος μέλος επιχειρήσεις. Για να αντιμετωπιστεί αυτό το ζήτημα και να αποτραπούν περαιτέρω στρεβλώσεις, οι μικρές επιχειρήσεις που είναι εγκατεστημένες σε κράτη μέλη διαφορετικά από εκείνο στο οποίο οφείλεται ο ΦΠΑ θα πρέπει επίσης να μπορούν να επωφελούνται από την απαλλαγή.</w:t>
      </w:r>
    </w:p>
    <w:p w14:paraId="16686964" w14:textId="20F9D631" w:rsidR="004413F4" w:rsidRPr="00A950F6" w:rsidRDefault="004413F4" w:rsidP="00A950F6">
      <w:pPr>
        <w:pStyle w:val="ListParagraph"/>
        <w:numPr>
          <w:ilvl w:val="0"/>
          <w:numId w:val="1"/>
        </w:numPr>
        <w:spacing w:before="160"/>
        <w:jc w:val="both"/>
        <w:rPr>
          <w:rFonts w:ascii="Arial" w:hAnsi="Arial" w:cs="Arial"/>
          <w:b/>
          <w:bCs/>
          <w:sz w:val="24"/>
          <w:szCs w:val="24"/>
        </w:rPr>
      </w:pPr>
      <w:r w:rsidRPr="004413F4">
        <w:rPr>
          <w:rFonts w:ascii="Arial" w:hAnsi="Arial" w:cs="Arial"/>
          <w:b/>
          <w:bCs/>
          <w:sz w:val="24"/>
          <w:szCs w:val="24"/>
        </w:rPr>
        <w:t>Ορισμοί</w:t>
      </w:r>
    </w:p>
    <w:p w14:paraId="596FEBEF" w14:textId="14DEB9E0" w:rsidR="00A27392" w:rsidRPr="0086373D" w:rsidRDefault="00A27392" w:rsidP="00A74CA8">
      <w:pPr>
        <w:spacing w:before="160"/>
        <w:jc w:val="both"/>
        <w:rPr>
          <w:rFonts w:ascii="Arial" w:hAnsi="Arial" w:cs="Arial"/>
          <w:sz w:val="24"/>
          <w:szCs w:val="24"/>
        </w:rPr>
      </w:pPr>
      <w:r w:rsidRPr="00A27392">
        <w:rPr>
          <w:rFonts w:ascii="Arial" w:hAnsi="Arial" w:cs="Arial"/>
          <w:sz w:val="24"/>
          <w:szCs w:val="24"/>
        </w:rPr>
        <w:t xml:space="preserve">Το </w:t>
      </w:r>
      <w:r w:rsidRPr="00A27392">
        <w:rPr>
          <w:rFonts w:ascii="Arial" w:hAnsi="Arial" w:cs="Arial"/>
          <w:b/>
          <w:bCs/>
          <w:sz w:val="24"/>
          <w:szCs w:val="24"/>
        </w:rPr>
        <w:t>υποκείμενο στο φόρο πρόσωπο</w:t>
      </w:r>
      <w:r w:rsidRPr="00A27392">
        <w:rPr>
          <w:rFonts w:ascii="Arial" w:hAnsi="Arial" w:cs="Arial"/>
          <w:sz w:val="24"/>
          <w:szCs w:val="24"/>
        </w:rPr>
        <w:t xml:space="preserve"> αντιπροσωπεύει τη μικρή επιχείρηση, η οποία πραγματοποιεί παραδόσεις αγαθών ή/και παροχές υπηρεσιών και επωφελείται ή θέλει να επωφεληθεί της απαλλαγής σε Κράτος Μέλος διαφορετικό από το Κράτος Μέλος της εγκατάστασής του</w:t>
      </w:r>
      <w:r w:rsidR="0086373D" w:rsidRPr="0086373D">
        <w:rPr>
          <w:rFonts w:ascii="Arial" w:hAnsi="Arial" w:cs="Arial"/>
          <w:sz w:val="24"/>
          <w:szCs w:val="24"/>
        </w:rPr>
        <w:t>.</w:t>
      </w:r>
    </w:p>
    <w:p w14:paraId="35BB2889" w14:textId="3F8D8218" w:rsidR="00A27392" w:rsidRPr="0086373D" w:rsidRDefault="00A27392" w:rsidP="00A74CA8">
      <w:pPr>
        <w:spacing w:before="160"/>
        <w:jc w:val="both"/>
        <w:rPr>
          <w:rFonts w:ascii="Arial" w:hAnsi="Arial" w:cs="Arial"/>
          <w:sz w:val="24"/>
          <w:szCs w:val="24"/>
        </w:rPr>
      </w:pPr>
      <w:r w:rsidRPr="00A27392">
        <w:rPr>
          <w:rFonts w:ascii="Arial" w:hAnsi="Arial" w:cs="Arial"/>
          <w:b/>
          <w:bCs/>
          <w:sz w:val="24"/>
          <w:szCs w:val="24"/>
        </w:rPr>
        <w:lastRenderedPageBreak/>
        <w:t>Κράτος Μέλος εγκατάστασης</w:t>
      </w:r>
      <w:r w:rsidRPr="00A27392">
        <w:rPr>
          <w:rFonts w:ascii="Arial" w:hAnsi="Arial" w:cs="Arial"/>
          <w:sz w:val="24"/>
          <w:szCs w:val="24"/>
        </w:rPr>
        <w:t xml:space="preserve"> </w:t>
      </w:r>
      <w:r w:rsidRPr="00A27392">
        <w:rPr>
          <w:rFonts w:ascii="Arial" w:hAnsi="Arial" w:cs="Arial"/>
          <w:b/>
          <w:bCs/>
          <w:sz w:val="24"/>
          <w:szCs w:val="24"/>
        </w:rPr>
        <w:t>(MSEST)</w:t>
      </w:r>
      <w:r w:rsidRPr="00A27392">
        <w:rPr>
          <w:rFonts w:ascii="Arial" w:hAnsi="Arial" w:cs="Arial"/>
          <w:sz w:val="24"/>
          <w:szCs w:val="24"/>
        </w:rPr>
        <w:t xml:space="preserve"> είναι το Κράτος Μέλος στο οποίο είναι εγκατεστημένο το υποκείμενο στο φόρο πρόσωπο που κάνει χρήση του ειδικού καθεστώτος</w:t>
      </w:r>
      <w:r w:rsidR="0086373D" w:rsidRPr="0086373D">
        <w:rPr>
          <w:rFonts w:ascii="Arial" w:hAnsi="Arial" w:cs="Arial"/>
          <w:sz w:val="24"/>
          <w:szCs w:val="24"/>
        </w:rPr>
        <w:t>.</w:t>
      </w:r>
    </w:p>
    <w:p w14:paraId="52A5E26E" w14:textId="32C4A3A4" w:rsidR="004413F4" w:rsidRPr="0086373D" w:rsidRDefault="00A27392" w:rsidP="00A74CA8">
      <w:pPr>
        <w:spacing w:before="160"/>
        <w:jc w:val="both"/>
        <w:rPr>
          <w:rFonts w:ascii="Arial" w:hAnsi="Arial" w:cs="Arial"/>
          <w:sz w:val="24"/>
          <w:szCs w:val="24"/>
        </w:rPr>
      </w:pPr>
      <w:r w:rsidRPr="00A27392">
        <w:rPr>
          <w:rFonts w:ascii="Arial" w:hAnsi="Arial" w:cs="Arial"/>
          <w:b/>
          <w:bCs/>
          <w:sz w:val="24"/>
          <w:szCs w:val="24"/>
        </w:rPr>
        <w:t xml:space="preserve"> Κράτος Μέλος απαλλαγής (MSEXE)</w:t>
      </w:r>
      <w:r w:rsidRPr="00A27392">
        <w:rPr>
          <w:rFonts w:ascii="Arial" w:hAnsi="Arial" w:cs="Arial"/>
          <w:sz w:val="24"/>
          <w:szCs w:val="24"/>
        </w:rPr>
        <w:t xml:space="preserve"> είναι το Κράτος Μέλος που χορηγεί την απαλλαγή από τον ΦΠΑ στις παραδόσεις αγαθών και τις παροχές υπηρεσιών, που πραγματοποιούνται στο έδαφός του, από υποκείμενα στο φόρο πρόσωπα που δικαιούνται την απαλλαγή δυνάμει του ειδικού καθεστώτος</w:t>
      </w:r>
      <w:r w:rsidR="0086373D" w:rsidRPr="0086373D">
        <w:rPr>
          <w:rFonts w:ascii="Arial" w:hAnsi="Arial" w:cs="Arial"/>
          <w:sz w:val="24"/>
          <w:szCs w:val="24"/>
        </w:rPr>
        <w:t>.</w:t>
      </w:r>
    </w:p>
    <w:p w14:paraId="7601D603" w14:textId="02D0EC91" w:rsidR="00062F34" w:rsidRDefault="00062F34" w:rsidP="00A74CA8">
      <w:pPr>
        <w:pStyle w:val="ListParagraph"/>
        <w:numPr>
          <w:ilvl w:val="0"/>
          <w:numId w:val="1"/>
        </w:numPr>
        <w:spacing w:before="160"/>
        <w:jc w:val="both"/>
        <w:rPr>
          <w:rFonts w:ascii="Arial" w:hAnsi="Arial" w:cs="Arial"/>
          <w:b/>
          <w:bCs/>
          <w:sz w:val="24"/>
          <w:szCs w:val="24"/>
        </w:rPr>
      </w:pPr>
      <w:r>
        <w:rPr>
          <w:rFonts w:ascii="Arial" w:hAnsi="Arial" w:cs="Arial"/>
          <w:b/>
          <w:bCs/>
          <w:sz w:val="24"/>
          <w:szCs w:val="24"/>
        </w:rPr>
        <w:t>Ποιοι επηρεάζονται;</w:t>
      </w:r>
    </w:p>
    <w:p w14:paraId="553B8274" w14:textId="7C937A3A" w:rsidR="00AC537A" w:rsidRPr="00AC537A" w:rsidRDefault="00AC537A" w:rsidP="00AC537A">
      <w:pPr>
        <w:spacing w:before="160"/>
        <w:jc w:val="both"/>
        <w:rPr>
          <w:rFonts w:ascii="Arial" w:hAnsi="Arial" w:cs="Arial"/>
          <w:sz w:val="24"/>
          <w:szCs w:val="24"/>
        </w:rPr>
      </w:pPr>
      <w:r w:rsidRPr="00AC537A">
        <w:rPr>
          <w:rFonts w:ascii="Arial" w:hAnsi="Arial" w:cs="Arial"/>
          <w:sz w:val="24"/>
          <w:szCs w:val="24"/>
        </w:rPr>
        <w:t>Από την 1</w:t>
      </w:r>
      <w:r w:rsidRPr="00AC537A">
        <w:rPr>
          <w:rFonts w:ascii="Arial" w:hAnsi="Arial" w:cs="Arial"/>
          <w:sz w:val="24"/>
          <w:szCs w:val="24"/>
          <w:vertAlign w:val="superscript"/>
        </w:rPr>
        <w:t>η</w:t>
      </w:r>
      <w:r w:rsidRPr="00AC537A">
        <w:rPr>
          <w:rFonts w:ascii="Arial" w:hAnsi="Arial" w:cs="Arial"/>
          <w:sz w:val="24"/>
          <w:szCs w:val="24"/>
        </w:rPr>
        <w:t xml:space="preserve"> Ιανουαρίου 2025, το καθεστώς </w:t>
      </w:r>
      <w:r>
        <w:rPr>
          <w:rFonts w:ascii="Arial" w:hAnsi="Arial" w:cs="Arial"/>
          <w:sz w:val="24"/>
          <w:szCs w:val="24"/>
        </w:rPr>
        <w:t>για τις μικρές επιχειρήσεις</w:t>
      </w:r>
      <w:r w:rsidRPr="00AC537A">
        <w:rPr>
          <w:rFonts w:ascii="Arial" w:hAnsi="Arial" w:cs="Arial"/>
          <w:sz w:val="24"/>
          <w:szCs w:val="24"/>
        </w:rPr>
        <w:t xml:space="preserve"> θα έχει δύο επίπεδα εφαρμογής: ένα εγχώριο και ένα διασυνοριακό εντός του εδάφους της Κοινότητας. Ενώ το εγχώριο επίπεδο που </w:t>
      </w:r>
      <w:r w:rsidR="00683BD0">
        <w:rPr>
          <w:rFonts w:ascii="Arial" w:hAnsi="Arial" w:cs="Arial"/>
          <w:sz w:val="24"/>
          <w:szCs w:val="24"/>
        </w:rPr>
        <w:t>ισχύει</w:t>
      </w:r>
      <w:r w:rsidRPr="00AC537A">
        <w:rPr>
          <w:rFonts w:ascii="Arial" w:hAnsi="Arial" w:cs="Arial"/>
          <w:sz w:val="24"/>
          <w:szCs w:val="24"/>
        </w:rPr>
        <w:t xml:space="preserve"> πριν από την 1</w:t>
      </w:r>
      <w:r w:rsidRPr="00AC537A">
        <w:rPr>
          <w:rFonts w:ascii="Arial" w:hAnsi="Arial" w:cs="Arial"/>
          <w:sz w:val="24"/>
          <w:szCs w:val="24"/>
          <w:vertAlign w:val="superscript"/>
        </w:rPr>
        <w:t>η</w:t>
      </w:r>
      <w:r w:rsidRPr="00AC537A">
        <w:rPr>
          <w:rFonts w:ascii="Arial" w:hAnsi="Arial" w:cs="Arial"/>
          <w:sz w:val="24"/>
          <w:szCs w:val="24"/>
        </w:rPr>
        <w:t xml:space="preserve"> Ιανουαρίου 2025 </w:t>
      </w:r>
      <w:r w:rsidR="00683BD0" w:rsidRPr="00AC537A">
        <w:rPr>
          <w:rFonts w:ascii="Arial" w:hAnsi="Arial" w:cs="Arial"/>
          <w:sz w:val="24"/>
          <w:szCs w:val="24"/>
        </w:rPr>
        <w:t>παρουσιάζε</w:t>
      </w:r>
      <w:r w:rsidR="00683BD0">
        <w:rPr>
          <w:rFonts w:ascii="Arial" w:hAnsi="Arial" w:cs="Arial"/>
          <w:sz w:val="24"/>
          <w:szCs w:val="24"/>
        </w:rPr>
        <w:t>ι</w:t>
      </w:r>
      <w:r w:rsidRPr="00AC537A">
        <w:rPr>
          <w:rFonts w:ascii="Arial" w:hAnsi="Arial" w:cs="Arial"/>
          <w:sz w:val="24"/>
          <w:szCs w:val="24"/>
        </w:rPr>
        <w:t xml:space="preserve"> μικρές αλλαγές με στόχο την καλύτερη εναρμόνιση των υφιστάμενων κανόνων μεταξύ των </w:t>
      </w:r>
      <w:r w:rsidR="00683BD0">
        <w:rPr>
          <w:rFonts w:ascii="Arial" w:hAnsi="Arial" w:cs="Arial"/>
          <w:sz w:val="24"/>
          <w:szCs w:val="24"/>
        </w:rPr>
        <w:t>Κ</w:t>
      </w:r>
      <w:r w:rsidRPr="00AC537A">
        <w:rPr>
          <w:rFonts w:ascii="Arial" w:hAnsi="Arial" w:cs="Arial"/>
          <w:sz w:val="24"/>
          <w:szCs w:val="24"/>
        </w:rPr>
        <w:t xml:space="preserve">ρατών </w:t>
      </w:r>
      <w:r w:rsidR="00683BD0">
        <w:rPr>
          <w:rFonts w:ascii="Arial" w:hAnsi="Arial" w:cs="Arial"/>
          <w:sz w:val="24"/>
          <w:szCs w:val="24"/>
        </w:rPr>
        <w:t>Μ</w:t>
      </w:r>
      <w:r w:rsidRPr="00AC537A">
        <w:rPr>
          <w:rFonts w:ascii="Arial" w:hAnsi="Arial" w:cs="Arial"/>
          <w:sz w:val="24"/>
          <w:szCs w:val="24"/>
        </w:rPr>
        <w:t xml:space="preserve">ελών, το διασυνοριακό επίπεδο έχει κατασκευαστεί </w:t>
      </w:r>
      <w:r w:rsidR="00123895">
        <w:rPr>
          <w:rFonts w:ascii="Arial" w:hAnsi="Arial" w:cs="Arial"/>
          <w:sz w:val="24"/>
          <w:szCs w:val="24"/>
        </w:rPr>
        <w:t>από την αρχή</w:t>
      </w:r>
      <w:r w:rsidRPr="00AC537A">
        <w:rPr>
          <w:rFonts w:ascii="Arial" w:hAnsi="Arial" w:cs="Arial"/>
          <w:sz w:val="24"/>
          <w:szCs w:val="24"/>
        </w:rPr>
        <w:t>.</w:t>
      </w:r>
    </w:p>
    <w:p w14:paraId="0FBF6E23" w14:textId="3E6D51C4" w:rsidR="00C85E58" w:rsidRPr="00C85E58" w:rsidRDefault="00AC537A" w:rsidP="00C85E58">
      <w:pPr>
        <w:spacing w:before="160"/>
        <w:jc w:val="both"/>
        <w:rPr>
          <w:rFonts w:ascii="Arial" w:hAnsi="Arial" w:cs="Arial"/>
          <w:sz w:val="24"/>
          <w:szCs w:val="24"/>
        </w:rPr>
      </w:pPr>
      <w:r w:rsidRPr="00AC537A">
        <w:rPr>
          <w:rFonts w:ascii="Arial" w:hAnsi="Arial" w:cs="Arial"/>
          <w:sz w:val="24"/>
          <w:szCs w:val="24"/>
        </w:rPr>
        <w:t xml:space="preserve">Ο αντίκτυπος των αλλαγών στις </w:t>
      </w:r>
      <w:r w:rsidR="00123895">
        <w:rPr>
          <w:rFonts w:ascii="Arial" w:hAnsi="Arial" w:cs="Arial"/>
          <w:sz w:val="24"/>
          <w:szCs w:val="24"/>
        </w:rPr>
        <w:t>μικρές επιχειρήσεις</w:t>
      </w:r>
      <w:r w:rsidRPr="00AC537A">
        <w:rPr>
          <w:rFonts w:ascii="Arial" w:hAnsi="Arial" w:cs="Arial"/>
          <w:sz w:val="24"/>
          <w:szCs w:val="24"/>
        </w:rPr>
        <w:t xml:space="preserve"> από την 1</w:t>
      </w:r>
      <w:r w:rsidRPr="00123895">
        <w:rPr>
          <w:rFonts w:ascii="Arial" w:hAnsi="Arial" w:cs="Arial"/>
          <w:sz w:val="24"/>
          <w:szCs w:val="24"/>
          <w:vertAlign w:val="superscript"/>
        </w:rPr>
        <w:t>η</w:t>
      </w:r>
      <w:r w:rsidRPr="00AC537A">
        <w:rPr>
          <w:rFonts w:ascii="Arial" w:hAnsi="Arial" w:cs="Arial"/>
          <w:sz w:val="24"/>
          <w:szCs w:val="24"/>
        </w:rPr>
        <w:t xml:space="preserve"> Ιανουαρίου 2025 θα εξαρτηθεί από το</w:t>
      </w:r>
      <w:r w:rsidR="00E504DF">
        <w:rPr>
          <w:rFonts w:ascii="Arial" w:hAnsi="Arial" w:cs="Arial"/>
          <w:sz w:val="24"/>
          <w:szCs w:val="24"/>
        </w:rPr>
        <w:t>/</w:t>
      </w:r>
      <w:r w:rsidRPr="00AC537A">
        <w:rPr>
          <w:rFonts w:ascii="Arial" w:hAnsi="Arial" w:cs="Arial"/>
          <w:sz w:val="24"/>
          <w:szCs w:val="24"/>
        </w:rPr>
        <w:t>α επίπεδο</w:t>
      </w:r>
      <w:r w:rsidR="00E504DF">
        <w:rPr>
          <w:rFonts w:ascii="Arial" w:hAnsi="Arial" w:cs="Arial"/>
          <w:sz w:val="24"/>
          <w:szCs w:val="24"/>
        </w:rPr>
        <w:t>/α</w:t>
      </w:r>
      <w:r w:rsidRPr="00AC537A">
        <w:rPr>
          <w:rFonts w:ascii="Arial" w:hAnsi="Arial" w:cs="Arial"/>
          <w:sz w:val="24"/>
          <w:szCs w:val="24"/>
        </w:rPr>
        <w:t xml:space="preserve"> του καθεστώτος που </w:t>
      </w:r>
      <w:r w:rsidR="00471181">
        <w:rPr>
          <w:rFonts w:ascii="Arial" w:hAnsi="Arial" w:cs="Arial"/>
          <w:sz w:val="24"/>
          <w:szCs w:val="24"/>
        </w:rPr>
        <w:t xml:space="preserve">εφαρμόζει το κάθε </w:t>
      </w:r>
      <w:r w:rsidRPr="00AC537A">
        <w:rPr>
          <w:rFonts w:ascii="Arial" w:hAnsi="Arial" w:cs="Arial"/>
          <w:sz w:val="24"/>
          <w:szCs w:val="24"/>
        </w:rPr>
        <w:t xml:space="preserve">υποκείμενο στο φόρο </w:t>
      </w:r>
      <w:r w:rsidR="00471181">
        <w:rPr>
          <w:rFonts w:ascii="Arial" w:hAnsi="Arial" w:cs="Arial"/>
          <w:sz w:val="24"/>
          <w:szCs w:val="24"/>
        </w:rPr>
        <w:t xml:space="preserve">πρόσωπο </w:t>
      </w:r>
      <w:r w:rsidRPr="00AC537A">
        <w:rPr>
          <w:rFonts w:ascii="Arial" w:hAnsi="Arial" w:cs="Arial"/>
          <w:sz w:val="24"/>
          <w:szCs w:val="24"/>
        </w:rPr>
        <w:t>και το είδος των παροχών που πραγματοποι</w:t>
      </w:r>
      <w:r w:rsidR="00471181">
        <w:rPr>
          <w:rFonts w:ascii="Arial" w:hAnsi="Arial" w:cs="Arial"/>
          <w:sz w:val="24"/>
          <w:szCs w:val="24"/>
        </w:rPr>
        <w:t>εί</w:t>
      </w:r>
      <w:r w:rsidRPr="00AC537A">
        <w:rPr>
          <w:rFonts w:ascii="Arial" w:hAnsi="Arial" w:cs="Arial"/>
          <w:sz w:val="24"/>
          <w:szCs w:val="24"/>
        </w:rPr>
        <w:t xml:space="preserve">: </w:t>
      </w:r>
      <w:r w:rsidR="00471181">
        <w:rPr>
          <w:rFonts w:ascii="Arial" w:hAnsi="Arial" w:cs="Arial"/>
          <w:sz w:val="24"/>
          <w:szCs w:val="24"/>
        </w:rPr>
        <w:t xml:space="preserve">παράδοση </w:t>
      </w:r>
      <w:r w:rsidRPr="00AC537A">
        <w:rPr>
          <w:rFonts w:ascii="Arial" w:hAnsi="Arial" w:cs="Arial"/>
          <w:sz w:val="24"/>
          <w:szCs w:val="24"/>
        </w:rPr>
        <w:t>αγαθ</w:t>
      </w:r>
      <w:r w:rsidR="00471181">
        <w:rPr>
          <w:rFonts w:ascii="Arial" w:hAnsi="Arial" w:cs="Arial"/>
          <w:sz w:val="24"/>
          <w:szCs w:val="24"/>
        </w:rPr>
        <w:t>ών</w:t>
      </w:r>
      <w:r w:rsidRPr="00AC537A">
        <w:rPr>
          <w:rFonts w:ascii="Arial" w:hAnsi="Arial" w:cs="Arial"/>
          <w:sz w:val="24"/>
          <w:szCs w:val="24"/>
        </w:rPr>
        <w:t xml:space="preserve"> ή </w:t>
      </w:r>
      <w:r w:rsidR="00471181">
        <w:rPr>
          <w:rFonts w:ascii="Arial" w:hAnsi="Arial" w:cs="Arial"/>
          <w:sz w:val="24"/>
          <w:szCs w:val="24"/>
        </w:rPr>
        <w:t xml:space="preserve">παροχή </w:t>
      </w:r>
      <w:r w:rsidR="006A4299" w:rsidRPr="00AC537A">
        <w:rPr>
          <w:rFonts w:ascii="Arial" w:hAnsi="Arial" w:cs="Arial"/>
          <w:sz w:val="24"/>
          <w:szCs w:val="24"/>
        </w:rPr>
        <w:t>υπηρεσι</w:t>
      </w:r>
      <w:r w:rsidR="006A4299">
        <w:rPr>
          <w:rFonts w:ascii="Arial" w:hAnsi="Arial" w:cs="Arial"/>
          <w:sz w:val="24"/>
          <w:szCs w:val="24"/>
        </w:rPr>
        <w:t>ών</w:t>
      </w:r>
      <w:r w:rsidRPr="00AC537A">
        <w:rPr>
          <w:rFonts w:ascii="Arial" w:hAnsi="Arial" w:cs="Arial"/>
          <w:sz w:val="24"/>
          <w:szCs w:val="24"/>
        </w:rPr>
        <w:t xml:space="preserve">, </w:t>
      </w:r>
      <w:r w:rsidR="006A4299">
        <w:rPr>
          <w:rFonts w:ascii="Arial" w:hAnsi="Arial" w:cs="Arial"/>
          <w:sz w:val="24"/>
          <w:szCs w:val="24"/>
        </w:rPr>
        <w:t>συναλλαγές μεταξύ επιχειρήσεων</w:t>
      </w:r>
      <w:r w:rsidRPr="00AC537A">
        <w:rPr>
          <w:rFonts w:ascii="Arial" w:hAnsi="Arial" w:cs="Arial"/>
          <w:sz w:val="24"/>
          <w:szCs w:val="24"/>
        </w:rPr>
        <w:t xml:space="preserve"> (B2B) ή </w:t>
      </w:r>
      <w:r w:rsidR="006A4299">
        <w:rPr>
          <w:rFonts w:ascii="Arial" w:hAnsi="Arial" w:cs="Arial"/>
          <w:sz w:val="24"/>
          <w:szCs w:val="24"/>
        </w:rPr>
        <w:t xml:space="preserve">πωλήσεις από </w:t>
      </w:r>
      <w:r w:rsidR="006A4299" w:rsidRPr="00AC537A">
        <w:rPr>
          <w:rFonts w:ascii="Arial" w:hAnsi="Arial" w:cs="Arial"/>
          <w:sz w:val="24"/>
          <w:szCs w:val="24"/>
        </w:rPr>
        <w:t>επιχειρήσ</w:t>
      </w:r>
      <w:r w:rsidR="006A4299">
        <w:rPr>
          <w:rFonts w:ascii="Arial" w:hAnsi="Arial" w:cs="Arial"/>
          <w:sz w:val="24"/>
          <w:szCs w:val="24"/>
        </w:rPr>
        <w:t xml:space="preserve">εις απευθείας στους τελικούς καταναλωτές </w:t>
      </w:r>
      <w:r w:rsidRPr="00AC537A">
        <w:rPr>
          <w:rFonts w:ascii="Arial" w:hAnsi="Arial" w:cs="Arial"/>
          <w:sz w:val="24"/>
          <w:szCs w:val="24"/>
        </w:rPr>
        <w:t xml:space="preserve">(B2C). Η εφαρμογή του </w:t>
      </w:r>
      <w:r w:rsidR="00577D09">
        <w:rPr>
          <w:rFonts w:ascii="Arial" w:hAnsi="Arial" w:cs="Arial"/>
          <w:sz w:val="24"/>
          <w:szCs w:val="24"/>
        </w:rPr>
        <w:t xml:space="preserve">καθεστώτος </w:t>
      </w:r>
      <w:r w:rsidRPr="00AC537A">
        <w:rPr>
          <w:rFonts w:ascii="Arial" w:hAnsi="Arial" w:cs="Arial"/>
          <w:sz w:val="24"/>
          <w:szCs w:val="24"/>
        </w:rPr>
        <w:t xml:space="preserve">παραμένει προαιρετική και τα επίπεδα του - εγχώρια και διασυνοριακά - δεν </w:t>
      </w:r>
      <w:proofErr w:type="spellStart"/>
      <w:r w:rsidRPr="00AC537A">
        <w:rPr>
          <w:rFonts w:ascii="Arial" w:hAnsi="Arial" w:cs="Arial"/>
          <w:sz w:val="24"/>
          <w:szCs w:val="24"/>
        </w:rPr>
        <w:t>αλληλοεξαρτώνται</w:t>
      </w:r>
      <w:proofErr w:type="spellEnd"/>
      <w:r w:rsidRPr="00AC537A">
        <w:rPr>
          <w:rFonts w:ascii="Arial" w:hAnsi="Arial" w:cs="Arial"/>
          <w:sz w:val="24"/>
          <w:szCs w:val="24"/>
        </w:rPr>
        <w:t xml:space="preserve">. </w:t>
      </w:r>
      <w:r w:rsidR="005152B3">
        <w:rPr>
          <w:rFonts w:ascii="Arial" w:hAnsi="Arial" w:cs="Arial"/>
          <w:sz w:val="24"/>
          <w:szCs w:val="24"/>
        </w:rPr>
        <w:t>Δηλαδή, ένα υποκείμενο στο φόρο πρόσωπο μπορεί να επιλέξει να εφαρμόσει το καθεστώς μόνο σε εθνικό επίπεδο, είτε μόνο σε διασυνοριακό επίπεδο ή και σε εθνικό και διασυνοριακό επίπεδο.</w:t>
      </w:r>
    </w:p>
    <w:p w14:paraId="27CA958B" w14:textId="16D08D6B" w:rsidR="00D65D37" w:rsidRDefault="00D65D37" w:rsidP="00D65D37">
      <w:pPr>
        <w:pStyle w:val="ListParagraph"/>
        <w:numPr>
          <w:ilvl w:val="0"/>
          <w:numId w:val="1"/>
        </w:numPr>
        <w:spacing w:before="160"/>
        <w:jc w:val="both"/>
        <w:rPr>
          <w:rFonts w:ascii="Arial" w:hAnsi="Arial" w:cs="Arial"/>
          <w:b/>
          <w:bCs/>
          <w:sz w:val="24"/>
          <w:szCs w:val="24"/>
        </w:rPr>
      </w:pPr>
      <w:r w:rsidRPr="004413F4">
        <w:rPr>
          <w:rFonts w:ascii="Arial" w:hAnsi="Arial" w:cs="Arial"/>
          <w:b/>
          <w:bCs/>
          <w:sz w:val="24"/>
          <w:szCs w:val="24"/>
        </w:rPr>
        <w:t>Ποια είναι τα όρια</w:t>
      </w:r>
    </w:p>
    <w:p w14:paraId="21D7C7B2" w14:textId="77777777" w:rsidR="00D65D37" w:rsidRPr="00E94ED9" w:rsidRDefault="00D65D37" w:rsidP="00E94ED9">
      <w:pPr>
        <w:spacing w:before="160"/>
        <w:jc w:val="both"/>
        <w:rPr>
          <w:rFonts w:ascii="Arial" w:hAnsi="Arial" w:cs="Arial"/>
          <w:sz w:val="24"/>
          <w:szCs w:val="24"/>
        </w:rPr>
      </w:pPr>
      <w:r w:rsidRPr="00E94ED9">
        <w:rPr>
          <w:rFonts w:ascii="Arial" w:hAnsi="Arial" w:cs="Arial"/>
          <w:sz w:val="24"/>
          <w:szCs w:val="24"/>
        </w:rPr>
        <w:t xml:space="preserve">Ο </w:t>
      </w:r>
      <w:r w:rsidRPr="00E94ED9">
        <w:rPr>
          <w:rFonts w:ascii="Arial" w:hAnsi="Arial" w:cs="Arial"/>
          <w:sz w:val="24"/>
          <w:szCs w:val="24"/>
          <w:u w:val="single"/>
        </w:rPr>
        <w:t>ετήσιος κύκλος εργασιών εντός ενός Κράτους Μέλους της Ε.Ε.</w:t>
      </w:r>
      <w:r w:rsidRPr="00E94ED9">
        <w:rPr>
          <w:rFonts w:ascii="Arial" w:hAnsi="Arial" w:cs="Arial"/>
          <w:sz w:val="24"/>
          <w:szCs w:val="24"/>
        </w:rPr>
        <w:t xml:space="preserve"> δηλαδή η ετήσια συνολική αξία των παραδόσεων αγαθών και των παροχών υπηρεσιών, χωρίς ΦΠΑ, που πραγματοποιούνται από υποκείμενο στο φόρο πρόσωπο εντός ενός συγκεκριμένου Κράτους Μέλους κατά τη διάρκεια ενός ημερολογιακού έτους να μην ξεπερνά το όριο που έχει θέσει αυτό το Κράτος Μέλος. Το εν λόγω όριο δεν μπορεί να υπερβαίνει τις €85.000 ή το αντίστοιχο ποσό σε εθνικό νόμισμα.</w:t>
      </w:r>
    </w:p>
    <w:p w14:paraId="6E14B51A" w14:textId="77777777" w:rsidR="00D65D37" w:rsidRPr="00A27392" w:rsidRDefault="00D65D37" w:rsidP="00E94ED9">
      <w:pPr>
        <w:spacing w:before="160"/>
        <w:jc w:val="both"/>
        <w:rPr>
          <w:rFonts w:ascii="Arial" w:hAnsi="Arial" w:cs="Arial"/>
          <w:sz w:val="24"/>
          <w:szCs w:val="24"/>
        </w:rPr>
      </w:pPr>
      <w:r w:rsidRPr="00A27392">
        <w:rPr>
          <w:rFonts w:ascii="Arial" w:hAnsi="Arial" w:cs="Arial"/>
          <w:sz w:val="24"/>
          <w:szCs w:val="24"/>
        </w:rPr>
        <w:t>Τα Κράτη Μέλη μπορούν να καθορίσουν διαφορετικά όρια για διαφορετικούς επιχειρηματικούς τομείς, τα οποία δεν πρέπει να υπερβαίνουν τ</w:t>
      </w:r>
      <w:r>
        <w:rPr>
          <w:rFonts w:ascii="Arial" w:hAnsi="Arial" w:cs="Arial"/>
          <w:sz w:val="24"/>
          <w:szCs w:val="24"/>
        </w:rPr>
        <w:t>ις</w:t>
      </w:r>
      <w:r w:rsidRPr="00A27392">
        <w:rPr>
          <w:rFonts w:ascii="Arial" w:hAnsi="Arial" w:cs="Arial"/>
          <w:sz w:val="24"/>
          <w:szCs w:val="24"/>
        </w:rPr>
        <w:t xml:space="preserve"> €85.000 ή το αντίστοιχο ποσό σε εθνικό νόμισμα</w:t>
      </w:r>
      <w:r>
        <w:rPr>
          <w:rFonts w:ascii="Arial" w:hAnsi="Arial" w:cs="Arial"/>
          <w:sz w:val="24"/>
          <w:szCs w:val="24"/>
        </w:rPr>
        <w:t>.</w:t>
      </w:r>
    </w:p>
    <w:p w14:paraId="2B74A48D" w14:textId="77777777" w:rsidR="00D65D37" w:rsidRPr="00A27392" w:rsidRDefault="00D65D37" w:rsidP="00E94ED9">
      <w:pPr>
        <w:spacing w:before="160"/>
        <w:jc w:val="both"/>
        <w:rPr>
          <w:rFonts w:ascii="Arial" w:hAnsi="Arial" w:cs="Arial"/>
          <w:sz w:val="24"/>
          <w:szCs w:val="24"/>
        </w:rPr>
      </w:pPr>
      <w:r w:rsidRPr="00A27392">
        <w:rPr>
          <w:rFonts w:ascii="Arial" w:hAnsi="Arial" w:cs="Arial"/>
          <w:sz w:val="24"/>
          <w:szCs w:val="24"/>
        </w:rPr>
        <w:t xml:space="preserve">Τα Κράτη Μέλη διασφαλίζουν ότι, </w:t>
      </w:r>
      <w:r>
        <w:rPr>
          <w:rFonts w:ascii="Arial" w:hAnsi="Arial" w:cs="Arial"/>
          <w:sz w:val="24"/>
          <w:szCs w:val="24"/>
        </w:rPr>
        <w:t xml:space="preserve">ένα υποκείμενο στο φόρο πρόσωπο </w:t>
      </w:r>
      <w:r w:rsidRPr="00A27392">
        <w:rPr>
          <w:rFonts w:ascii="Arial" w:hAnsi="Arial" w:cs="Arial"/>
          <w:sz w:val="24"/>
          <w:szCs w:val="24"/>
        </w:rPr>
        <w:t>που πληροί τις προϋποθέσεις που απαιτούνται για να επωφεληθεί από περισσότερα του ενός τομεακά όρια, μπορεί να χρησιμοποιήσει μόνο ένα από αυτά</w:t>
      </w:r>
      <w:r>
        <w:rPr>
          <w:rFonts w:ascii="Arial" w:hAnsi="Arial" w:cs="Arial"/>
          <w:sz w:val="24"/>
          <w:szCs w:val="24"/>
        </w:rPr>
        <w:t>.</w:t>
      </w:r>
    </w:p>
    <w:p w14:paraId="34D983AC" w14:textId="77777777" w:rsidR="00D65D37" w:rsidRDefault="00D65D37" w:rsidP="00E94ED9">
      <w:pPr>
        <w:spacing w:before="160"/>
        <w:jc w:val="both"/>
        <w:rPr>
          <w:rFonts w:ascii="Arial" w:hAnsi="Arial" w:cs="Arial"/>
          <w:sz w:val="24"/>
          <w:szCs w:val="24"/>
        </w:rPr>
      </w:pPr>
      <w:r w:rsidRPr="00A27392">
        <w:rPr>
          <w:rFonts w:ascii="Arial" w:hAnsi="Arial" w:cs="Arial"/>
          <w:sz w:val="24"/>
          <w:szCs w:val="24"/>
        </w:rPr>
        <w:t xml:space="preserve">Τα όρια δε διαφοροποιούνται μεταξύ των </w:t>
      </w:r>
      <w:r>
        <w:rPr>
          <w:rFonts w:ascii="Arial" w:hAnsi="Arial" w:cs="Arial"/>
          <w:sz w:val="24"/>
          <w:szCs w:val="24"/>
        </w:rPr>
        <w:t>υποκείμενων στο φόρο προσώπων</w:t>
      </w:r>
      <w:r w:rsidRPr="00A27392">
        <w:rPr>
          <w:rFonts w:ascii="Arial" w:hAnsi="Arial" w:cs="Arial"/>
          <w:sz w:val="24"/>
          <w:szCs w:val="24"/>
        </w:rPr>
        <w:t xml:space="preserve"> που είναι εγκατεστημέν</w:t>
      </w:r>
      <w:r>
        <w:rPr>
          <w:rFonts w:ascii="Arial" w:hAnsi="Arial" w:cs="Arial"/>
          <w:sz w:val="24"/>
          <w:szCs w:val="24"/>
        </w:rPr>
        <w:t>α</w:t>
      </w:r>
      <w:r w:rsidRPr="00A27392">
        <w:rPr>
          <w:rFonts w:ascii="Arial" w:hAnsi="Arial" w:cs="Arial"/>
          <w:sz w:val="24"/>
          <w:szCs w:val="24"/>
        </w:rPr>
        <w:t xml:space="preserve"> και εκείνων που δεν είναι εγκατεστημέν</w:t>
      </w:r>
      <w:r>
        <w:rPr>
          <w:rFonts w:ascii="Arial" w:hAnsi="Arial" w:cs="Arial"/>
          <w:sz w:val="24"/>
          <w:szCs w:val="24"/>
        </w:rPr>
        <w:t>α</w:t>
      </w:r>
      <w:r w:rsidRPr="00A27392">
        <w:rPr>
          <w:rFonts w:ascii="Arial" w:hAnsi="Arial" w:cs="Arial"/>
          <w:sz w:val="24"/>
          <w:szCs w:val="24"/>
        </w:rPr>
        <w:t xml:space="preserve"> σε ένα συγκεκριμένο Κράτος Μέλος</w:t>
      </w:r>
      <w:r>
        <w:rPr>
          <w:rFonts w:ascii="Arial" w:hAnsi="Arial" w:cs="Arial"/>
          <w:sz w:val="24"/>
          <w:szCs w:val="24"/>
        </w:rPr>
        <w:t>.</w:t>
      </w:r>
    </w:p>
    <w:p w14:paraId="47F89DCD" w14:textId="519C14F2" w:rsidR="00D65D37" w:rsidRDefault="00D65D37" w:rsidP="00E94ED9">
      <w:pPr>
        <w:spacing w:before="160"/>
        <w:jc w:val="both"/>
        <w:rPr>
          <w:rFonts w:ascii="Arial" w:hAnsi="Arial" w:cs="Arial"/>
          <w:sz w:val="24"/>
          <w:szCs w:val="24"/>
        </w:rPr>
      </w:pPr>
      <w:r w:rsidRPr="00E94ED9">
        <w:rPr>
          <w:rFonts w:ascii="Arial" w:hAnsi="Arial" w:cs="Arial"/>
          <w:sz w:val="24"/>
          <w:szCs w:val="24"/>
        </w:rPr>
        <w:lastRenderedPageBreak/>
        <w:t xml:space="preserve">Ο </w:t>
      </w:r>
      <w:r w:rsidRPr="00E94ED9">
        <w:rPr>
          <w:rFonts w:ascii="Arial" w:hAnsi="Arial" w:cs="Arial"/>
          <w:sz w:val="24"/>
          <w:szCs w:val="24"/>
          <w:u w:val="single"/>
        </w:rPr>
        <w:t>ετήσιος κύκλος εργασιών της Ένωσης</w:t>
      </w:r>
      <w:r w:rsidRPr="00E94ED9">
        <w:rPr>
          <w:rFonts w:ascii="Arial" w:hAnsi="Arial" w:cs="Arial"/>
          <w:sz w:val="24"/>
          <w:szCs w:val="24"/>
        </w:rPr>
        <w:t xml:space="preserve"> δηλαδή η ετήσια συνολική αξία των παραδόσεων αγαθών και των παροχών υπηρεσιών, χωρίς ΦΠΑ, που πραγματοποιούνται από υποκείμενο στο φόρο πρόσωπο εντός του εδάφους της Κοινότητας κατά τη διάρκεια ενός ημερολογιακού έτους να μην ξεπερνά τις €100.000.</w:t>
      </w:r>
    </w:p>
    <w:p w14:paraId="2C49DE83" w14:textId="77777777" w:rsidR="00C85E58" w:rsidRDefault="00C85E58" w:rsidP="00C85E58">
      <w:pPr>
        <w:pStyle w:val="ListParagraph"/>
        <w:numPr>
          <w:ilvl w:val="0"/>
          <w:numId w:val="1"/>
        </w:numPr>
        <w:spacing w:before="160"/>
        <w:jc w:val="both"/>
        <w:rPr>
          <w:rFonts w:ascii="Arial" w:hAnsi="Arial" w:cs="Arial"/>
          <w:b/>
          <w:bCs/>
          <w:sz w:val="24"/>
          <w:szCs w:val="24"/>
        </w:rPr>
      </w:pPr>
      <w:r>
        <w:rPr>
          <w:rFonts w:ascii="Arial" w:hAnsi="Arial" w:cs="Arial"/>
          <w:b/>
          <w:bCs/>
          <w:sz w:val="24"/>
          <w:szCs w:val="24"/>
        </w:rPr>
        <w:t>Προϋποθέσεις για την εφαρμογή του καθεστώτος σε διασυνοριακό επίπεδο</w:t>
      </w:r>
    </w:p>
    <w:p w14:paraId="2C7BD54C" w14:textId="2B74CA6F" w:rsidR="00C85E58" w:rsidRPr="00C85E58" w:rsidRDefault="00C85E58" w:rsidP="005D55BB">
      <w:pPr>
        <w:spacing w:before="160"/>
        <w:jc w:val="both"/>
        <w:rPr>
          <w:rFonts w:ascii="Arial" w:hAnsi="Arial" w:cs="Arial"/>
          <w:sz w:val="24"/>
          <w:szCs w:val="24"/>
        </w:rPr>
      </w:pPr>
      <w:r>
        <w:rPr>
          <w:rFonts w:ascii="Arial" w:hAnsi="Arial" w:cs="Arial"/>
          <w:sz w:val="24"/>
          <w:szCs w:val="24"/>
        </w:rPr>
        <w:t>Ένα υποκείμενο στο φόρο πρόσωπο</w:t>
      </w:r>
      <w:r w:rsidRPr="00C85E58">
        <w:rPr>
          <w:rFonts w:ascii="Arial" w:hAnsi="Arial" w:cs="Arial"/>
          <w:sz w:val="24"/>
          <w:szCs w:val="24"/>
        </w:rPr>
        <w:t xml:space="preserve"> πρέπει να πληροί τις ακόλουθες προϋποθέσεις:</w:t>
      </w:r>
    </w:p>
    <w:p w14:paraId="25B286D9" w14:textId="77777777" w:rsidR="00C85E58" w:rsidRPr="00C85E58" w:rsidRDefault="00C85E58" w:rsidP="005D55BB">
      <w:pPr>
        <w:pStyle w:val="ListParagraph"/>
        <w:numPr>
          <w:ilvl w:val="0"/>
          <w:numId w:val="16"/>
        </w:numPr>
        <w:spacing w:before="160"/>
        <w:jc w:val="both"/>
        <w:rPr>
          <w:rFonts w:ascii="Arial" w:hAnsi="Arial" w:cs="Arial"/>
          <w:sz w:val="24"/>
          <w:szCs w:val="24"/>
        </w:rPr>
      </w:pPr>
      <w:r w:rsidRPr="00C85E58">
        <w:rPr>
          <w:rFonts w:ascii="Arial" w:hAnsi="Arial" w:cs="Arial"/>
          <w:sz w:val="24"/>
          <w:szCs w:val="24"/>
        </w:rPr>
        <w:t>Η έδρα της οικονομικής της δραστηριότητας να βρίσκεται σε ένα Κράτος Μέλος</w:t>
      </w:r>
    </w:p>
    <w:p w14:paraId="4CEBFC30" w14:textId="0EA526FB" w:rsidR="00C85E58" w:rsidRPr="00C85E58" w:rsidRDefault="00C85E58" w:rsidP="005D55BB">
      <w:pPr>
        <w:pStyle w:val="ListParagraph"/>
        <w:numPr>
          <w:ilvl w:val="0"/>
          <w:numId w:val="16"/>
        </w:numPr>
        <w:spacing w:before="160"/>
        <w:jc w:val="both"/>
        <w:rPr>
          <w:rFonts w:ascii="Arial" w:hAnsi="Arial" w:cs="Arial"/>
          <w:sz w:val="24"/>
          <w:szCs w:val="24"/>
        </w:rPr>
      </w:pPr>
      <w:r w:rsidRPr="00C85E58">
        <w:rPr>
          <w:rFonts w:ascii="Arial" w:hAnsi="Arial" w:cs="Arial"/>
          <w:sz w:val="24"/>
          <w:szCs w:val="24"/>
        </w:rPr>
        <w:t>Ο ετήσιος κύκλος εργασιών της στην Ε.Ε. να μην υπερβαίνει τις €100.000</w:t>
      </w:r>
    </w:p>
    <w:p w14:paraId="68B614D3" w14:textId="70D534B0" w:rsidR="00C85E58" w:rsidRPr="00C85E58" w:rsidRDefault="00C85E58" w:rsidP="005D55BB">
      <w:pPr>
        <w:pStyle w:val="ListParagraph"/>
        <w:numPr>
          <w:ilvl w:val="0"/>
          <w:numId w:val="16"/>
        </w:numPr>
        <w:spacing w:before="160"/>
        <w:ind w:left="357" w:hanging="357"/>
        <w:contextualSpacing w:val="0"/>
        <w:jc w:val="both"/>
        <w:rPr>
          <w:rFonts w:ascii="Arial" w:hAnsi="Arial" w:cs="Arial"/>
          <w:sz w:val="24"/>
          <w:szCs w:val="24"/>
        </w:rPr>
      </w:pPr>
      <w:r w:rsidRPr="00C85E58">
        <w:rPr>
          <w:rFonts w:ascii="Arial" w:hAnsi="Arial" w:cs="Arial"/>
          <w:sz w:val="24"/>
          <w:szCs w:val="24"/>
        </w:rPr>
        <w:t>Ο ετήσιος κύκλος εργασιών της να μην υπερβαίνει το εθνικό όριο του κάθε Κράτους Μέλους από το οποίο θέλει να πάρει απαλλαγή από τον ΦΠΑ</w:t>
      </w:r>
    </w:p>
    <w:p w14:paraId="6A923D93" w14:textId="16044CF4" w:rsidR="00A27392" w:rsidRPr="00323702" w:rsidRDefault="00323702" w:rsidP="00577D09">
      <w:pPr>
        <w:pStyle w:val="ListParagraph"/>
        <w:numPr>
          <w:ilvl w:val="0"/>
          <w:numId w:val="1"/>
        </w:numPr>
        <w:spacing w:before="160"/>
        <w:jc w:val="both"/>
        <w:rPr>
          <w:rFonts w:ascii="Arial" w:hAnsi="Arial" w:cs="Arial"/>
          <w:b/>
          <w:bCs/>
          <w:sz w:val="24"/>
          <w:szCs w:val="24"/>
        </w:rPr>
      </w:pPr>
      <w:r w:rsidRPr="001E74A9">
        <w:rPr>
          <w:rFonts w:ascii="Arial" w:hAnsi="Arial" w:cs="Arial"/>
          <w:b/>
          <w:bCs/>
          <w:sz w:val="24"/>
          <w:szCs w:val="24"/>
        </w:rPr>
        <w:t xml:space="preserve">Περαιτέρω πληροφορίες </w:t>
      </w:r>
    </w:p>
    <w:p w14:paraId="0A7C534D" w14:textId="77777777" w:rsidR="00D31867" w:rsidRPr="00D31867" w:rsidRDefault="00D31867" w:rsidP="00A74CA8">
      <w:pPr>
        <w:spacing w:before="160"/>
        <w:jc w:val="both"/>
        <w:rPr>
          <w:rFonts w:ascii="Arial" w:hAnsi="Arial" w:cs="Arial"/>
          <w:sz w:val="24"/>
          <w:szCs w:val="24"/>
        </w:rPr>
      </w:pPr>
      <w:r w:rsidRPr="00D31867">
        <w:rPr>
          <w:rFonts w:ascii="Arial" w:hAnsi="Arial" w:cs="Arial"/>
          <w:sz w:val="24"/>
          <w:szCs w:val="24"/>
        </w:rPr>
        <w:t>Το Τμήμα Φορολογίας θα εκδώσει περισσότερες λεπτομέρειες σε σχέση με τις επερχόμενες αλλαγές πριν την 1</w:t>
      </w:r>
      <w:r w:rsidRPr="00D31867">
        <w:rPr>
          <w:rFonts w:ascii="Arial" w:hAnsi="Arial" w:cs="Arial"/>
          <w:sz w:val="24"/>
          <w:szCs w:val="24"/>
          <w:vertAlign w:val="superscript"/>
        </w:rPr>
        <w:t>η</w:t>
      </w:r>
      <w:r w:rsidRPr="00D31867">
        <w:rPr>
          <w:rFonts w:ascii="Arial" w:hAnsi="Arial" w:cs="Arial"/>
          <w:sz w:val="24"/>
          <w:szCs w:val="24"/>
        </w:rPr>
        <w:t xml:space="preserve"> Ιανουαρίου 2025. </w:t>
      </w:r>
    </w:p>
    <w:p w14:paraId="5E946DBD" w14:textId="06A33DE3" w:rsidR="00D31867" w:rsidRPr="00D31867" w:rsidRDefault="00855375" w:rsidP="00A74CA8">
      <w:pPr>
        <w:spacing w:before="160"/>
        <w:jc w:val="both"/>
        <w:rPr>
          <w:rFonts w:ascii="Arial" w:hAnsi="Arial" w:cs="Arial"/>
          <w:sz w:val="24"/>
          <w:szCs w:val="24"/>
        </w:rPr>
      </w:pPr>
      <w:r>
        <w:rPr>
          <w:rFonts w:ascii="Arial" w:hAnsi="Arial" w:cs="Arial"/>
          <w:sz w:val="24"/>
          <w:szCs w:val="24"/>
        </w:rPr>
        <w:t>Μ</w:t>
      </w:r>
      <w:r w:rsidR="00D31867" w:rsidRPr="00D31867">
        <w:rPr>
          <w:rFonts w:ascii="Arial" w:hAnsi="Arial" w:cs="Arial"/>
          <w:sz w:val="24"/>
          <w:szCs w:val="24"/>
        </w:rPr>
        <w:t xml:space="preserve">πορείτε να στείλετε τα ερωτήματα σας </w:t>
      </w:r>
      <w:r w:rsidR="001F00A3">
        <w:rPr>
          <w:rFonts w:ascii="Arial" w:hAnsi="Arial" w:cs="Arial"/>
          <w:sz w:val="24"/>
          <w:szCs w:val="24"/>
        </w:rPr>
        <w:t>σ</w:t>
      </w:r>
      <w:r w:rsidR="00D31867" w:rsidRPr="00D31867">
        <w:rPr>
          <w:rFonts w:ascii="Arial" w:hAnsi="Arial" w:cs="Arial"/>
          <w:sz w:val="24"/>
          <w:szCs w:val="24"/>
        </w:rPr>
        <w:t xml:space="preserve">την ηλεκτρονική διεύθυνση </w:t>
      </w:r>
      <w:proofErr w:type="spellStart"/>
      <w:r w:rsidR="00D31867" w:rsidRPr="00D31867">
        <w:rPr>
          <w:rFonts w:ascii="Arial" w:hAnsi="Arial" w:cs="Arial"/>
          <w:sz w:val="24"/>
          <w:szCs w:val="24"/>
          <w:lang w:val="en-US"/>
        </w:rPr>
        <w:t>sme</w:t>
      </w:r>
      <w:proofErr w:type="spellEnd"/>
      <w:r w:rsidR="00D31867" w:rsidRPr="00D31867">
        <w:rPr>
          <w:rFonts w:ascii="Arial" w:hAnsi="Arial" w:cs="Arial"/>
          <w:sz w:val="24"/>
          <w:szCs w:val="24"/>
        </w:rPr>
        <w:t>@tax.mof.gov.cy</w:t>
      </w:r>
    </w:p>
    <w:p w14:paraId="0C7E6DB8" w14:textId="0ED2F898" w:rsidR="00D31867" w:rsidRDefault="00D31867" w:rsidP="00913467">
      <w:pPr>
        <w:spacing w:before="160"/>
        <w:jc w:val="both"/>
        <w:rPr>
          <w:rFonts w:ascii="Arial" w:hAnsi="Arial" w:cs="Arial"/>
          <w:sz w:val="24"/>
          <w:szCs w:val="24"/>
        </w:rPr>
      </w:pPr>
    </w:p>
    <w:sectPr w:rsidR="00D31867" w:rsidSect="009C3924">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4EEE" w14:textId="77777777" w:rsidR="009C3924" w:rsidRDefault="009C3924" w:rsidP="00A27392">
      <w:pPr>
        <w:spacing w:after="0" w:line="240" w:lineRule="auto"/>
      </w:pPr>
      <w:r>
        <w:separator/>
      </w:r>
    </w:p>
  </w:endnote>
  <w:endnote w:type="continuationSeparator" w:id="0">
    <w:p w14:paraId="37D0EF2E" w14:textId="77777777" w:rsidR="009C3924" w:rsidRDefault="009C3924" w:rsidP="00A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729779"/>
      <w:docPartObj>
        <w:docPartGallery w:val="Page Numbers (Bottom of Page)"/>
        <w:docPartUnique/>
      </w:docPartObj>
    </w:sdtPr>
    <w:sdtEndPr>
      <w:rPr>
        <w:rFonts w:ascii="Arial" w:hAnsi="Arial" w:cs="Arial"/>
        <w:noProof/>
      </w:rPr>
    </w:sdtEndPr>
    <w:sdtContent>
      <w:p w14:paraId="6443DD04" w14:textId="65FEAB36" w:rsidR="00A27392" w:rsidRPr="00A27392" w:rsidRDefault="00A27392">
        <w:pPr>
          <w:pStyle w:val="Footer"/>
          <w:jc w:val="center"/>
          <w:rPr>
            <w:rFonts w:ascii="Arial" w:hAnsi="Arial" w:cs="Arial"/>
          </w:rPr>
        </w:pPr>
        <w:r w:rsidRPr="00A27392">
          <w:rPr>
            <w:rFonts w:ascii="Arial" w:hAnsi="Arial" w:cs="Arial"/>
          </w:rPr>
          <w:fldChar w:fldCharType="begin"/>
        </w:r>
        <w:r w:rsidRPr="00A27392">
          <w:rPr>
            <w:rFonts w:ascii="Arial" w:hAnsi="Arial" w:cs="Arial"/>
          </w:rPr>
          <w:instrText xml:space="preserve"> PAGE   \* MERGEFORMAT </w:instrText>
        </w:r>
        <w:r w:rsidRPr="00A27392">
          <w:rPr>
            <w:rFonts w:ascii="Arial" w:hAnsi="Arial" w:cs="Arial"/>
          </w:rPr>
          <w:fldChar w:fldCharType="separate"/>
        </w:r>
        <w:r w:rsidRPr="00A27392">
          <w:rPr>
            <w:rFonts w:ascii="Arial" w:hAnsi="Arial" w:cs="Arial"/>
            <w:noProof/>
          </w:rPr>
          <w:t>2</w:t>
        </w:r>
        <w:r w:rsidRPr="00A27392">
          <w:rPr>
            <w:rFonts w:ascii="Arial" w:hAnsi="Arial" w:cs="Arial"/>
            <w:noProof/>
          </w:rPr>
          <w:fldChar w:fldCharType="end"/>
        </w:r>
      </w:p>
    </w:sdtContent>
  </w:sdt>
  <w:p w14:paraId="20CA4486" w14:textId="77777777" w:rsidR="00A27392" w:rsidRDefault="00A27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0A38" w14:textId="77777777" w:rsidR="009C3924" w:rsidRDefault="009C3924" w:rsidP="00A27392">
      <w:pPr>
        <w:spacing w:after="0" w:line="240" w:lineRule="auto"/>
      </w:pPr>
      <w:r>
        <w:separator/>
      </w:r>
    </w:p>
  </w:footnote>
  <w:footnote w:type="continuationSeparator" w:id="0">
    <w:p w14:paraId="298B2D49" w14:textId="77777777" w:rsidR="009C3924" w:rsidRDefault="009C3924" w:rsidP="00A27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6B8F"/>
    <w:multiLevelType w:val="hybridMultilevel"/>
    <w:tmpl w:val="35F66E5E"/>
    <w:lvl w:ilvl="0" w:tplc="8AAEA0D8">
      <w:start w:val="1"/>
      <w:numFmt w:val="decimal"/>
      <w:lvlText w:val="%1.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5933B9"/>
    <w:multiLevelType w:val="hybridMultilevel"/>
    <w:tmpl w:val="E41EDE50"/>
    <w:lvl w:ilvl="0" w:tplc="472CD41E">
      <w:start w:val="1"/>
      <w:numFmt w:val="bullet"/>
      <w:lvlText w:val="▰"/>
      <w:lvlJc w:val="left"/>
      <w:pPr>
        <w:tabs>
          <w:tab w:val="num" w:pos="720"/>
        </w:tabs>
        <w:ind w:left="720" w:hanging="360"/>
      </w:pPr>
      <w:rPr>
        <w:rFonts w:ascii="Cambria Math" w:hAnsi="Cambria Math" w:hint="default"/>
      </w:rPr>
    </w:lvl>
    <w:lvl w:ilvl="1" w:tplc="2F88E9DA" w:tentative="1">
      <w:start w:val="1"/>
      <w:numFmt w:val="bullet"/>
      <w:lvlText w:val="▰"/>
      <w:lvlJc w:val="left"/>
      <w:pPr>
        <w:tabs>
          <w:tab w:val="num" w:pos="1440"/>
        </w:tabs>
        <w:ind w:left="1440" w:hanging="360"/>
      </w:pPr>
      <w:rPr>
        <w:rFonts w:ascii="Cambria Math" w:hAnsi="Cambria Math" w:hint="default"/>
      </w:rPr>
    </w:lvl>
    <w:lvl w:ilvl="2" w:tplc="FA46160C" w:tentative="1">
      <w:start w:val="1"/>
      <w:numFmt w:val="bullet"/>
      <w:lvlText w:val="▰"/>
      <w:lvlJc w:val="left"/>
      <w:pPr>
        <w:tabs>
          <w:tab w:val="num" w:pos="2160"/>
        </w:tabs>
        <w:ind w:left="2160" w:hanging="360"/>
      </w:pPr>
      <w:rPr>
        <w:rFonts w:ascii="Cambria Math" w:hAnsi="Cambria Math" w:hint="default"/>
      </w:rPr>
    </w:lvl>
    <w:lvl w:ilvl="3" w:tplc="40A0A690" w:tentative="1">
      <w:start w:val="1"/>
      <w:numFmt w:val="bullet"/>
      <w:lvlText w:val="▰"/>
      <w:lvlJc w:val="left"/>
      <w:pPr>
        <w:tabs>
          <w:tab w:val="num" w:pos="2880"/>
        </w:tabs>
        <w:ind w:left="2880" w:hanging="360"/>
      </w:pPr>
      <w:rPr>
        <w:rFonts w:ascii="Cambria Math" w:hAnsi="Cambria Math" w:hint="default"/>
      </w:rPr>
    </w:lvl>
    <w:lvl w:ilvl="4" w:tplc="7B72578A" w:tentative="1">
      <w:start w:val="1"/>
      <w:numFmt w:val="bullet"/>
      <w:lvlText w:val="▰"/>
      <w:lvlJc w:val="left"/>
      <w:pPr>
        <w:tabs>
          <w:tab w:val="num" w:pos="3600"/>
        </w:tabs>
        <w:ind w:left="3600" w:hanging="360"/>
      </w:pPr>
      <w:rPr>
        <w:rFonts w:ascii="Cambria Math" w:hAnsi="Cambria Math" w:hint="default"/>
      </w:rPr>
    </w:lvl>
    <w:lvl w:ilvl="5" w:tplc="D00E3E94" w:tentative="1">
      <w:start w:val="1"/>
      <w:numFmt w:val="bullet"/>
      <w:lvlText w:val="▰"/>
      <w:lvlJc w:val="left"/>
      <w:pPr>
        <w:tabs>
          <w:tab w:val="num" w:pos="4320"/>
        </w:tabs>
        <w:ind w:left="4320" w:hanging="360"/>
      </w:pPr>
      <w:rPr>
        <w:rFonts w:ascii="Cambria Math" w:hAnsi="Cambria Math" w:hint="default"/>
      </w:rPr>
    </w:lvl>
    <w:lvl w:ilvl="6" w:tplc="3A10FD00" w:tentative="1">
      <w:start w:val="1"/>
      <w:numFmt w:val="bullet"/>
      <w:lvlText w:val="▰"/>
      <w:lvlJc w:val="left"/>
      <w:pPr>
        <w:tabs>
          <w:tab w:val="num" w:pos="5040"/>
        </w:tabs>
        <w:ind w:left="5040" w:hanging="360"/>
      </w:pPr>
      <w:rPr>
        <w:rFonts w:ascii="Cambria Math" w:hAnsi="Cambria Math" w:hint="default"/>
      </w:rPr>
    </w:lvl>
    <w:lvl w:ilvl="7" w:tplc="7E5E3FD6" w:tentative="1">
      <w:start w:val="1"/>
      <w:numFmt w:val="bullet"/>
      <w:lvlText w:val="▰"/>
      <w:lvlJc w:val="left"/>
      <w:pPr>
        <w:tabs>
          <w:tab w:val="num" w:pos="5760"/>
        </w:tabs>
        <w:ind w:left="5760" w:hanging="360"/>
      </w:pPr>
      <w:rPr>
        <w:rFonts w:ascii="Cambria Math" w:hAnsi="Cambria Math" w:hint="default"/>
      </w:rPr>
    </w:lvl>
    <w:lvl w:ilvl="8" w:tplc="41EA2A02" w:tentative="1">
      <w:start w:val="1"/>
      <w:numFmt w:val="bullet"/>
      <w:lvlText w:val="▰"/>
      <w:lvlJc w:val="left"/>
      <w:pPr>
        <w:tabs>
          <w:tab w:val="num" w:pos="6480"/>
        </w:tabs>
        <w:ind w:left="6480" w:hanging="360"/>
      </w:pPr>
      <w:rPr>
        <w:rFonts w:ascii="Cambria Math" w:hAnsi="Cambria Math" w:hint="default"/>
      </w:rPr>
    </w:lvl>
  </w:abstractNum>
  <w:abstractNum w:abstractNumId="2" w15:restartNumberingAfterBreak="0">
    <w:nsid w:val="2D0425FF"/>
    <w:multiLevelType w:val="hybridMultilevel"/>
    <w:tmpl w:val="745686CA"/>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5F95700"/>
    <w:multiLevelType w:val="hybridMultilevel"/>
    <w:tmpl w:val="C6927E02"/>
    <w:lvl w:ilvl="0" w:tplc="B1C6A25E">
      <w:start w:val="1"/>
      <w:numFmt w:val="bullet"/>
      <w:lvlText w:val="▰"/>
      <w:lvlJc w:val="left"/>
      <w:pPr>
        <w:tabs>
          <w:tab w:val="num" w:pos="720"/>
        </w:tabs>
        <w:ind w:left="720" w:hanging="360"/>
      </w:pPr>
      <w:rPr>
        <w:rFonts w:ascii="Cambria Math" w:hAnsi="Cambria Math" w:hint="default"/>
      </w:rPr>
    </w:lvl>
    <w:lvl w:ilvl="1" w:tplc="70E8F274" w:tentative="1">
      <w:start w:val="1"/>
      <w:numFmt w:val="bullet"/>
      <w:lvlText w:val="▰"/>
      <w:lvlJc w:val="left"/>
      <w:pPr>
        <w:tabs>
          <w:tab w:val="num" w:pos="1440"/>
        </w:tabs>
        <w:ind w:left="1440" w:hanging="360"/>
      </w:pPr>
      <w:rPr>
        <w:rFonts w:ascii="Cambria Math" w:hAnsi="Cambria Math" w:hint="default"/>
      </w:rPr>
    </w:lvl>
    <w:lvl w:ilvl="2" w:tplc="EC203492" w:tentative="1">
      <w:start w:val="1"/>
      <w:numFmt w:val="bullet"/>
      <w:lvlText w:val="▰"/>
      <w:lvlJc w:val="left"/>
      <w:pPr>
        <w:tabs>
          <w:tab w:val="num" w:pos="2160"/>
        </w:tabs>
        <w:ind w:left="2160" w:hanging="360"/>
      </w:pPr>
      <w:rPr>
        <w:rFonts w:ascii="Cambria Math" w:hAnsi="Cambria Math" w:hint="default"/>
      </w:rPr>
    </w:lvl>
    <w:lvl w:ilvl="3" w:tplc="1040C758" w:tentative="1">
      <w:start w:val="1"/>
      <w:numFmt w:val="bullet"/>
      <w:lvlText w:val="▰"/>
      <w:lvlJc w:val="left"/>
      <w:pPr>
        <w:tabs>
          <w:tab w:val="num" w:pos="2880"/>
        </w:tabs>
        <w:ind w:left="2880" w:hanging="360"/>
      </w:pPr>
      <w:rPr>
        <w:rFonts w:ascii="Cambria Math" w:hAnsi="Cambria Math" w:hint="default"/>
      </w:rPr>
    </w:lvl>
    <w:lvl w:ilvl="4" w:tplc="398881B0" w:tentative="1">
      <w:start w:val="1"/>
      <w:numFmt w:val="bullet"/>
      <w:lvlText w:val="▰"/>
      <w:lvlJc w:val="left"/>
      <w:pPr>
        <w:tabs>
          <w:tab w:val="num" w:pos="3600"/>
        </w:tabs>
        <w:ind w:left="3600" w:hanging="360"/>
      </w:pPr>
      <w:rPr>
        <w:rFonts w:ascii="Cambria Math" w:hAnsi="Cambria Math" w:hint="default"/>
      </w:rPr>
    </w:lvl>
    <w:lvl w:ilvl="5" w:tplc="BC662A16" w:tentative="1">
      <w:start w:val="1"/>
      <w:numFmt w:val="bullet"/>
      <w:lvlText w:val="▰"/>
      <w:lvlJc w:val="left"/>
      <w:pPr>
        <w:tabs>
          <w:tab w:val="num" w:pos="4320"/>
        </w:tabs>
        <w:ind w:left="4320" w:hanging="360"/>
      </w:pPr>
      <w:rPr>
        <w:rFonts w:ascii="Cambria Math" w:hAnsi="Cambria Math" w:hint="default"/>
      </w:rPr>
    </w:lvl>
    <w:lvl w:ilvl="6" w:tplc="F4842E66" w:tentative="1">
      <w:start w:val="1"/>
      <w:numFmt w:val="bullet"/>
      <w:lvlText w:val="▰"/>
      <w:lvlJc w:val="left"/>
      <w:pPr>
        <w:tabs>
          <w:tab w:val="num" w:pos="5040"/>
        </w:tabs>
        <w:ind w:left="5040" w:hanging="360"/>
      </w:pPr>
      <w:rPr>
        <w:rFonts w:ascii="Cambria Math" w:hAnsi="Cambria Math" w:hint="default"/>
      </w:rPr>
    </w:lvl>
    <w:lvl w:ilvl="7" w:tplc="6DACF0A8" w:tentative="1">
      <w:start w:val="1"/>
      <w:numFmt w:val="bullet"/>
      <w:lvlText w:val="▰"/>
      <w:lvlJc w:val="left"/>
      <w:pPr>
        <w:tabs>
          <w:tab w:val="num" w:pos="5760"/>
        </w:tabs>
        <w:ind w:left="5760" w:hanging="360"/>
      </w:pPr>
      <w:rPr>
        <w:rFonts w:ascii="Cambria Math" w:hAnsi="Cambria Math" w:hint="default"/>
      </w:rPr>
    </w:lvl>
    <w:lvl w:ilvl="8" w:tplc="F042CDAE"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3AF47120"/>
    <w:multiLevelType w:val="hybridMultilevel"/>
    <w:tmpl w:val="610A1E78"/>
    <w:lvl w:ilvl="0" w:tplc="40102EFE">
      <w:start w:val="1"/>
      <w:numFmt w:val="bullet"/>
      <w:lvlText w:val="▰"/>
      <w:lvlJc w:val="left"/>
      <w:pPr>
        <w:tabs>
          <w:tab w:val="num" w:pos="720"/>
        </w:tabs>
        <w:ind w:left="720" w:hanging="360"/>
      </w:pPr>
      <w:rPr>
        <w:rFonts w:ascii="Cambria Math" w:hAnsi="Cambria Math" w:hint="default"/>
      </w:rPr>
    </w:lvl>
    <w:lvl w:ilvl="1" w:tplc="2E54A958">
      <w:numFmt w:val="bullet"/>
      <w:lvlText w:val="▻"/>
      <w:lvlJc w:val="left"/>
      <w:pPr>
        <w:tabs>
          <w:tab w:val="num" w:pos="1440"/>
        </w:tabs>
        <w:ind w:left="1440" w:hanging="360"/>
      </w:pPr>
      <w:rPr>
        <w:rFonts w:ascii="Cambria Math" w:hAnsi="Cambria Math" w:hint="default"/>
      </w:rPr>
    </w:lvl>
    <w:lvl w:ilvl="2" w:tplc="46024454" w:tentative="1">
      <w:start w:val="1"/>
      <w:numFmt w:val="bullet"/>
      <w:lvlText w:val="▰"/>
      <w:lvlJc w:val="left"/>
      <w:pPr>
        <w:tabs>
          <w:tab w:val="num" w:pos="2160"/>
        </w:tabs>
        <w:ind w:left="2160" w:hanging="360"/>
      </w:pPr>
      <w:rPr>
        <w:rFonts w:ascii="Cambria Math" w:hAnsi="Cambria Math" w:hint="default"/>
      </w:rPr>
    </w:lvl>
    <w:lvl w:ilvl="3" w:tplc="D4C881E4" w:tentative="1">
      <w:start w:val="1"/>
      <w:numFmt w:val="bullet"/>
      <w:lvlText w:val="▰"/>
      <w:lvlJc w:val="left"/>
      <w:pPr>
        <w:tabs>
          <w:tab w:val="num" w:pos="2880"/>
        </w:tabs>
        <w:ind w:left="2880" w:hanging="360"/>
      </w:pPr>
      <w:rPr>
        <w:rFonts w:ascii="Cambria Math" w:hAnsi="Cambria Math" w:hint="default"/>
      </w:rPr>
    </w:lvl>
    <w:lvl w:ilvl="4" w:tplc="8F4240FE" w:tentative="1">
      <w:start w:val="1"/>
      <w:numFmt w:val="bullet"/>
      <w:lvlText w:val="▰"/>
      <w:lvlJc w:val="left"/>
      <w:pPr>
        <w:tabs>
          <w:tab w:val="num" w:pos="3600"/>
        </w:tabs>
        <w:ind w:left="3600" w:hanging="360"/>
      </w:pPr>
      <w:rPr>
        <w:rFonts w:ascii="Cambria Math" w:hAnsi="Cambria Math" w:hint="default"/>
      </w:rPr>
    </w:lvl>
    <w:lvl w:ilvl="5" w:tplc="CFEC1136" w:tentative="1">
      <w:start w:val="1"/>
      <w:numFmt w:val="bullet"/>
      <w:lvlText w:val="▰"/>
      <w:lvlJc w:val="left"/>
      <w:pPr>
        <w:tabs>
          <w:tab w:val="num" w:pos="4320"/>
        </w:tabs>
        <w:ind w:left="4320" w:hanging="360"/>
      </w:pPr>
      <w:rPr>
        <w:rFonts w:ascii="Cambria Math" w:hAnsi="Cambria Math" w:hint="default"/>
      </w:rPr>
    </w:lvl>
    <w:lvl w:ilvl="6" w:tplc="9156F690" w:tentative="1">
      <w:start w:val="1"/>
      <w:numFmt w:val="bullet"/>
      <w:lvlText w:val="▰"/>
      <w:lvlJc w:val="left"/>
      <w:pPr>
        <w:tabs>
          <w:tab w:val="num" w:pos="5040"/>
        </w:tabs>
        <w:ind w:left="5040" w:hanging="360"/>
      </w:pPr>
      <w:rPr>
        <w:rFonts w:ascii="Cambria Math" w:hAnsi="Cambria Math" w:hint="default"/>
      </w:rPr>
    </w:lvl>
    <w:lvl w:ilvl="7" w:tplc="938E39CE" w:tentative="1">
      <w:start w:val="1"/>
      <w:numFmt w:val="bullet"/>
      <w:lvlText w:val="▰"/>
      <w:lvlJc w:val="left"/>
      <w:pPr>
        <w:tabs>
          <w:tab w:val="num" w:pos="5760"/>
        </w:tabs>
        <w:ind w:left="5760" w:hanging="360"/>
      </w:pPr>
      <w:rPr>
        <w:rFonts w:ascii="Cambria Math" w:hAnsi="Cambria Math" w:hint="default"/>
      </w:rPr>
    </w:lvl>
    <w:lvl w:ilvl="8" w:tplc="05443C5A" w:tentative="1">
      <w:start w:val="1"/>
      <w:numFmt w:val="bullet"/>
      <w:lvlText w:val="▰"/>
      <w:lvlJc w:val="left"/>
      <w:pPr>
        <w:tabs>
          <w:tab w:val="num" w:pos="6480"/>
        </w:tabs>
        <w:ind w:left="6480" w:hanging="360"/>
      </w:pPr>
      <w:rPr>
        <w:rFonts w:ascii="Cambria Math" w:hAnsi="Cambria Math" w:hint="default"/>
      </w:rPr>
    </w:lvl>
  </w:abstractNum>
  <w:abstractNum w:abstractNumId="5" w15:restartNumberingAfterBreak="0">
    <w:nsid w:val="3BE74A06"/>
    <w:multiLevelType w:val="multilevel"/>
    <w:tmpl w:val="04707B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682743"/>
    <w:multiLevelType w:val="hybridMultilevel"/>
    <w:tmpl w:val="0082FC4E"/>
    <w:lvl w:ilvl="0" w:tplc="73B4648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DB315FE"/>
    <w:multiLevelType w:val="hybridMultilevel"/>
    <w:tmpl w:val="EF44A042"/>
    <w:lvl w:ilvl="0" w:tplc="73B4648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0DB181B"/>
    <w:multiLevelType w:val="hybridMultilevel"/>
    <w:tmpl w:val="DFE86216"/>
    <w:lvl w:ilvl="0" w:tplc="56EE5506">
      <w:start w:val="1"/>
      <w:numFmt w:val="bullet"/>
      <w:lvlText w:val="▰"/>
      <w:lvlJc w:val="left"/>
      <w:pPr>
        <w:tabs>
          <w:tab w:val="num" w:pos="720"/>
        </w:tabs>
        <w:ind w:left="720" w:hanging="360"/>
      </w:pPr>
      <w:rPr>
        <w:rFonts w:ascii="Cambria Math" w:hAnsi="Cambria Math" w:hint="default"/>
      </w:rPr>
    </w:lvl>
    <w:lvl w:ilvl="1" w:tplc="43A0C026">
      <w:numFmt w:val="bullet"/>
      <w:lvlText w:val="▻"/>
      <w:lvlJc w:val="left"/>
      <w:pPr>
        <w:tabs>
          <w:tab w:val="num" w:pos="1440"/>
        </w:tabs>
        <w:ind w:left="1440" w:hanging="360"/>
      </w:pPr>
      <w:rPr>
        <w:rFonts w:ascii="Cambria Math" w:hAnsi="Cambria Math" w:hint="default"/>
      </w:rPr>
    </w:lvl>
    <w:lvl w:ilvl="2" w:tplc="058ACAAE" w:tentative="1">
      <w:start w:val="1"/>
      <w:numFmt w:val="bullet"/>
      <w:lvlText w:val="▰"/>
      <w:lvlJc w:val="left"/>
      <w:pPr>
        <w:tabs>
          <w:tab w:val="num" w:pos="2160"/>
        </w:tabs>
        <w:ind w:left="2160" w:hanging="360"/>
      </w:pPr>
      <w:rPr>
        <w:rFonts w:ascii="Cambria Math" w:hAnsi="Cambria Math" w:hint="default"/>
      </w:rPr>
    </w:lvl>
    <w:lvl w:ilvl="3" w:tplc="24423A5A" w:tentative="1">
      <w:start w:val="1"/>
      <w:numFmt w:val="bullet"/>
      <w:lvlText w:val="▰"/>
      <w:lvlJc w:val="left"/>
      <w:pPr>
        <w:tabs>
          <w:tab w:val="num" w:pos="2880"/>
        </w:tabs>
        <w:ind w:left="2880" w:hanging="360"/>
      </w:pPr>
      <w:rPr>
        <w:rFonts w:ascii="Cambria Math" w:hAnsi="Cambria Math" w:hint="default"/>
      </w:rPr>
    </w:lvl>
    <w:lvl w:ilvl="4" w:tplc="EE748BD4" w:tentative="1">
      <w:start w:val="1"/>
      <w:numFmt w:val="bullet"/>
      <w:lvlText w:val="▰"/>
      <w:lvlJc w:val="left"/>
      <w:pPr>
        <w:tabs>
          <w:tab w:val="num" w:pos="3600"/>
        </w:tabs>
        <w:ind w:left="3600" w:hanging="360"/>
      </w:pPr>
      <w:rPr>
        <w:rFonts w:ascii="Cambria Math" w:hAnsi="Cambria Math" w:hint="default"/>
      </w:rPr>
    </w:lvl>
    <w:lvl w:ilvl="5" w:tplc="BF98A750" w:tentative="1">
      <w:start w:val="1"/>
      <w:numFmt w:val="bullet"/>
      <w:lvlText w:val="▰"/>
      <w:lvlJc w:val="left"/>
      <w:pPr>
        <w:tabs>
          <w:tab w:val="num" w:pos="4320"/>
        </w:tabs>
        <w:ind w:left="4320" w:hanging="360"/>
      </w:pPr>
      <w:rPr>
        <w:rFonts w:ascii="Cambria Math" w:hAnsi="Cambria Math" w:hint="default"/>
      </w:rPr>
    </w:lvl>
    <w:lvl w:ilvl="6" w:tplc="506CD8EA" w:tentative="1">
      <w:start w:val="1"/>
      <w:numFmt w:val="bullet"/>
      <w:lvlText w:val="▰"/>
      <w:lvlJc w:val="left"/>
      <w:pPr>
        <w:tabs>
          <w:tab w:val="num" w:pos="5040"/>
        </w:tabs>
        <w:ind w:left="5040" w:hanging="360"/>
      </w:pPr>
      <w:rPr>
        <w:rFonts w:ascii="Cambria Math" w:hAnsi="Cambria Math" w:hint="default"/>
      </w:rPr>
    </w:lvl>
    <w:lvl w:ilvl="7" w:tplc="1A80E1C6" w:tentative="1">
      <w:start w:val="1"/>
      <w:numFmt w:val="bullet"/>
      <w:lvlText w:val="▰"/>
      <w:lvlJc w:val="left"/>
      <w:pPr>
        <w:tabs>
          <w:tab w:val="num" w:pos="5760"/>
        </w:tabs>
        <w:ind w:left="5760" w:hanging="360"/>
      </w:pPr>
      <w:rPr>
        <w:rFonts w:ascii="Cambria Math" w:hAnsi="Cambria Math" w:hint="default"/>
      </w:rPr>
    </w:lvl>
    <w:lvl w:ilvl="8" w:tplc="E57EC3F4"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5DA37159"/>
    <w:multiLevelType w:val="hybridMultilevel"/>
    <w:tmpl w:val="4E523050"/>
    <w:lvl w:ilvl="0" w:tplc="73B4648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6E81F6E"/>
    <w:multiLevelType w:val="multilevel"/>
    <w:tmpl w:val="FEFA7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F2F1F"/>
    <w:multiLevelType w:val="hybridMultilevel"/>
    <w:tmpl w:val="F336EF16"/>
    <w:lvl w:ilvl="0" w:tplc="B6BCF982">
      <w:start w:val="1"/>
      <w:numFmt w:val="bullet"/>
      <w:lvlText w:val="▰"/>
      <w:lvlJc w:val="left"/>
      <w:pPr>
        <w:tabs>
          <w:tab w:val="num" w:pos="720"/>
        </w:tabs>
        <w:ind w:left="720" w:hanging="360"/>
      </w:pPr>
      <w:rPr>
        <w:rFonts w:ascii="Cambria Math" w:hAnsi="Cambria Math" w:hint="default"/>
      </w:rPr>
    </w:lvl>
    <w:lvl w:ilvl="1" w:tplc="A4D87FD2">
      <w:numFmt w:val="bullet"/>
      <w:lvlText w:val="▻"/>
      <w:lvlJc w:val="left"/>
      <w:pPr>
        <w:tabs>
          <w:tab w:val="num" w:pos="1440"/>
        </w:tabs>
        <w:ind w:left="1440" w:hanging="360"/>
      </w:pPr>
      <w:rPr>
        <w:rFonts w:ascii="Cambria Math" w:hAnsi="Cambria Math" w:hint="default"/>
      </w:rPr>
    </w:lvl>
    <w:lvl w:ilvl="2" w:tplc="31D07D88" w:tentative="1">
      <w:start w:val="1"/>
      <w:numFmt w:val="bullet"/>
      <w:lvlText w:val="▰"/>
      <w:lvlJc w:val="left"/>
      <w:pPr>
        <w:tabs>
          <w:tab w:val="num" w:pos="2160"/>
        </w:tabs>
        <w:ind w:left="2160" w:hanging="360"/>
      </w:pPr>
      <w:rPr>
        <w:rFonts w:ascii="Cambria Math" w:hAnsi="Cambria Math" w:hint="default"/>
      </w:rPr>
    </w:lvl>
    <w:lvl w:ilvl="3" w:tplc="3878BDF4" w:tentative="1">
      <w:start w:val="1"/>
      <w:numFmt w:val="bullet"/>
      <w:lvlText w:val="▰"/>
      <w:lvlJc w:val="left"/>
      <w:pPr>
        <w:tabs>
          <w:tab w:val="num" w:pos="2880"/>
        </w:tabs>
        <w:ind w:left="2880" w:hanging="360"/>
      </w:pPr>
      <w:rPr>
        <w:rFonts w:ascii="Cambria Math" w:hAnsi="Cambria Math" w:hint="default"/>
      </w:rPr>
    </w:lvl>
    <w:lvl w:ilvl="4" w:tplc="BD0C2D32" w:tentative="1">
      <w:start w:val="1"/>
      <w:numFmt w:val="bullet"/>
      <w:lvlText w:val="▰"/>
      <w:lvlJc w:val="left"/>
      <w:pPr>
        <w:tabs>
          <w:tab w:val="num" w:pos="3600"/>
        </w:tabs>
        <w:ind w:left="3600" w:hanging="360"/>
      </w:pPr>
      <w:rPr>
        <w:rFonts w:ascii="Cambria Math" w:hAnsi="Cambria Math" w:hint="default"/>
      </w:rPr>
    </w:lvl>
    <w:lvl w:ilvl="5" w:tplc="3AF89536" w:tentative="1">
      <w:start w:val="1"/>
      <w:numFmt w:val="bullet"/>
      <w:lvlText w:val="▰"/>
      <w:lvlJc w:val="left"/>
      <w:pPr>
        <w:tabs>
          <w:tab w:val="num" w:pos="4320"/>
        </w:tabs>
        <w:ind w:left="4320" w:hanging="360"/>
      </w:pPr>
      <w:rPr>
        <w:rFonts w:ascii="Cambria Math" w:hAnsi="Cambria Math" w:hint="default"/>
      </w:rPr>
    </w:lvl>
    <w:lvl w:ilvl="6" w:tplc="C5363F14" w:tentative="1">
      <w:start w:val="1"/>
      <w:numFmt w:val="bullet"/>
      <w:lvlText w:val="▰"/>
      <w:lvlJc w:val="left"/>
      <w:pPr>
        <w:tabs>
          <w:tab w:val="num" w:pos="5040"/>
        </w:tabs>
        <w:ind w:left="5040" w:hanging="360"/>
      </w:pPr>
      <w:rPr>
        <w:rFonts w:ascii="Cambria Math" w:hAnsi="Cambria Math" w:hint="default"/>
      </w:rPr>
    </w:lvl>
    <w:lvl w:ilvl="7" w:tplc="6AEAF592" w:tentative="1">
      <w:start w:val="1"/>
      <w:numFmt w:val="bullet"/>
      <w:lvlText w:val="▰"/>
      <w:lvlJc w:val="left"/>
      <w:pPr>
        <w:tabs>
          <w:tab w:val="num" w:pos="5760"/>
        </w:tabs>
        <w:ind w:left="5760" w:hanging="360"/>
      </w:pPr>
      <w:rPr>
        <w:rFonts w:ascii="Cambria Math" w:hAnsi="Cambria Math" w:hint="default"/>
      </w:rPr>
    </w:lvl>
    <w:lvl w:ilvl="8" w:tplc="948082D0" w:tentative="1">
      <w:start w:val="1"/>
      <w:numFmt w:val="bullet"/>
      <w:lvlText w:val="▰"/>
      <w:lvlJc w:val="left"/>
      <w:pPr>
        <w:tabs>
          <w:tab w:val="num" w:pos="6480"/>
        </w:tabs>
        <w:ind w:left="6480" w:hanging="360"/>
      </w:pPr>
      <w:rPr>
        <w:rFonts w:ascii="Cambria Math" w:hAnsi="Cambria Math" w:hint="default"/>
      </w:rPr>
    </w:lvl>
  </w:abstractNum>
  <w:abstractNum w:abstractNumId="12" w15:restartNumberingAfterBreak="0">
    <w:nsid w:val="749E278A"/>
    <w:multiLevelType w:val="hybridMultilevel"/>
    <w:tmpl w:val="34FE47CC"/>
    <w:lvl w:ilvl="0" w:tplc="D766EEF6">
      <w:start w:val="1"/>
      <w:numFmt w:val="bullet"/>
      <w:lvlText w:val="▰"/>
      <w:lvlJc w:val="left"/>
      <w:pPr>
        <w:tabs>
          <w:tab w:val="num" w:pos="720"/>
        </w:tabs>
        <w:ind w:left="720" w:hanging="360"/>
      </w:pPr>
      <w:rPr>
        <w:rFonts w:ascii="Cambria Math" w:hAnsi="Cambria Math" w:hint="default"/>
      </w:rPr>
    </w:lvl>
    <w:lvl w:ilvl="1" w:tplc="FA146936" w:tentative="1">
      <w:start w:val="1"/>
      <w:numFmt w:val="bullet"/>
      <w:lvlText w:val="▰"/>
      <w:lvlJc w:val="left"/>
      <w:pPr>
        <w:tabs>
          <w:tab w:val="num" w:pos="1440"/>
        </w:tabs>
        <w:ind w:left="1440" w:hanging="360"/>
      </w:pPr>
      <w:rPr>
        <w:rFonts w:ascii="Cambria Math" w:hAnsi="Cambria Math" w:hint="default"/>
      </w:rPr>
    </w:lvl>
    <w:lvl w:ilvl="2" w:tplc="B8F4F852" w:tentative="1">
      <w:start w:val="1"/>
      <w:numFmt w:val="bullet"/>
      <w:lvlText w:val="▰"/>
      <w:lvlJc w:val="left"/>
      <w:pPr>
        <w:tabs>
          <w:tab w:val="num" w:pos="2160"/>
        </w:tabs>
        <w:ind w:left="2160" w:hanging="360"/>
      </w:pPr>
      <w:rPr>
        <w:rFonts w:ascii="Cambria Math" w:hAnsi="Cambria Math" w:hint="default"/>
      </w:rPr>
    </w:lvl>
    <w:lvl w:ilvl="3" w:tplc="29A2976C" w:tentative="1">
      <w:start w:val="1"/>
      <w:numFmt w:val="bullet"/>
      <w:lvlText w:val="▰"/>
      <w:lvlJc w:val="left"/>
      <w:pPr>
        <w:tabs>
          <w:tab w:val="num" w:pos="2880"/>
        </w:tabs>
        <w:ind w:left="2880" w:hanging="360"/>
      </w:pPr>
      <w:rPr>
        <w:rFonts w:ascii="Cambria Math" w:hAnsi="Cambria Math" w:hint="default"/>
      </w:rPr>
    </w:lvl>
    <w:lvl w:ilvl="4" w:tplc="7764B36C" w:tentative="1">
      <w:start w:val="1"/>
      <w:numFmt w:val="bullet"/>
      <w:lvlText w:val="▰"/>
      <w:lvlJc w:val="left"/>
      <w:pPr>
        <w:tabs>
          <w:tab w:val="num" w:pos="3600"/>
        </w:tabs>
        <w:ind w:left="3600" w:hanging="360"/>
      </w:pPr>
      <w:rPr>
        <w:rFonts w:ascii="Cambria Math" w:hAnsi="Cambria Math" w:hint="default"/>
      </w:rPr>
    </w:lvl>
    <w:lvl w:ilvl="5" w:tplc="AB9282B8" w:tentative="1">
      <w:start w:val="1"/>
      <w:numFmt w:val="bullet"/>
      <w:lvlText w:val="▰"/>
      <w:lvlJc w:val="left"/>
      <w:pPr>
        <w:tabs>
          <w:tab w:val="num" w:pos="4320"/>
        </w:tabs>
        <w:ind w:left="4320" w:hanging="360"/>
      </w:pPr>
      <w:rPr>
        <w:rFonts w:ascii="Cambria Math" w:hAnsi="Cambria Math" w:hint="default"/>
      </w:rPr>
    </w:lvl>
    <w:lvl w:ilvl="6" w:tplc="675EFC1C" w:tentative="1">
      <w:start w:val="1"/>
      <w:numFmt w:val="bullet"/>
      <w:lvlText w:val="▰"/>
      <w:lvlJc w:val="left"/>
      <w:pPr>
        <w:tabs>
          <w:tab w:val="num" w:pos="5040"/>
        </w:tabs>
        <w:ind w:left="5040" w:hanging="360"/>
      </w:pPr>
      <w:rPr>
        <w:rFonts w:ascii="Cambria Math" w:hAnsi="Cambria Math" w:hint="default"/>
      </w:rPr>
    </w:lvl>
    <w:lvl w:ilvl="7" w:tplc="66F65046" w:tentative="1">
      <w:start w:val="1"/>
      <w:numFmt w:val="bullet"/>
      <w:lvlText w:val="▰"/>
      <w:lvlJc w:val="left"/>
      <w:pPr>
        <w:tabs>
          <w:tab w:val="num" w:pos="5760"/>
        </w:tabs>
        <w:ind w:left="5760" w:hanging="360"/>
      </w:pPr>
      <w:rPr>
        <w:rFonts w:ascii="Cambria Math" w:hAnsi="Cambria Math" w:hint="default"/>
      </w:rPr>
    </w:lvl>
    <w:lvl w:ilvl="8" w:tplc="15F233A2" w:tentative="1">
      <w:start w:val="1"/>
      <w:numFmt w:val="bullet"/>
      <w:lvlText w:val="▰"/>
      <w:lvlJc w:val="left"/>
      <w:pPr>
        <w:tabs>
          <w:tab w:val="num" w:pos="6480"/>
        </w:tabs>
        <w:ind w:left="6480" w:hanging="360"/>
      </w:pPr>
      <w:rPr>
        <w:rFonts w:ascii="Cambria Math" w:hAnsi="Cambria Math" w:hint="default"/>
      </w:rPr>
    </w:lvl>
  </w:abstractNum>
  <w:abstractNum w:abstractNumId="13" w15:restartNumberingAfterBreak="0">
    <w:nsid w:val="754D4CBB"/>
    <w:multiLevelType w:val="hybridMultilevel"/>
    <w:tmpl w:val="D0D28CC6"/>
    <w:lvl w:ilvl="0" w:tplc="F4761712">
      <w:start w:val="1"/>
      <w:numFmt w:val="bullet"/>
      <w:lvlText w:val="▰"/>
      <w:lvlJc w:val="left"/>
      <w:pPr>
        <w:tabs>
          <w:tab w:val="num" w:pos="720"/>
        </w:tabs>
        <w:ind w:left="720" w:hanging="360"/>
      </w:pPr>
      <w:rPr>
        <w:rFonts w:ascii="Cambria Math" w:hAnsi="Cambria Math" w:hint="default"/>
      </w:rPr>
    </w:lvl>
    <w:lvl w:ilvl="1" w:tplc="89341624" w:tentative="1">
      <w:start w:val="1"/>
      <w:numFmt w:val="bullet"/>
      <w:lvlText w:val="▰"/>
      <w:lvlJc w:val="left"/>
      <w:pPr>
        <w:tabs>
          <w:tab w:val="num" w:pos="1440"/>
        </w:tabs>
        <w:ind w:left="1440" w:hanging="360"/>
      </w:pPr>
      <w:rPr>
        <w:rFonts w:ascii="Cambria Math" w:hAnsi="Cambria Math" w:hint="default"/>
      </w:rPr>
    </w:lvl>
    <w:lvl w:ilvl="2" w:tplc="C32E5614" w:tentative="1">
      <w:start w:val="1"/>
      <w:numFmt w:val="bullet"/>
      <w:lvlText w:val="▰"/>
      <w:lvlJc w:val="left"/>
      <w:pPr>
        <w:tabs>
          <w:tab w:val="num" w:pos="2160"/>
        </w:tabs>
        <w:ind w:left="2160" w:hanging="360"/>
      </w:pPr>
      <w:rPr>
        <w:rFonts w:ascii="Cambria Math" w:hAnsi="Cambria Math" w:hint="default"/>
      </w:rPr>
    </w:lvl>
    <w:lvl w:ilvl="3" w:tplc="CC14C9AC" w:tentative="1">
      <w:start w:val="1"/>
      <w:numFmt w:val="bullet"/>
      <w:lvlText w:val="▰"/>
      <w:lvlJc w:val="left"/>
      <w:pPr>
        <w:tabs>
          <w:tab w:val="num" w:pos="2880"/>
        </w:tabs>
        <w:ind w:left="2880" w:hanging="360"/>
      </w:pPr>
      <w:rPr>
        <w:rFonts w:ascii="Cambria Math" w:hAnsi="Cambria Math" w:hint="default"/>
      </w:rPr>
    </w:lvl>
    <w:lvl w:ilvl="4" w:tplc="8646B9D4" w:tentative="1">
      <w:start w:val="1"/>
      <w:numFmt w:val="bullet"/>
      <w:lvlText w:val="▰"/>
      <w:lvlJc w:val="left"/>
      <w:pPr>
        <w:tabs>
          <w:tab w:val="num" w:pos="3600"/>
        </w:tabs>
        <w:ind w:left="3600" w:hanging="360"/>
      </w:pPr>
      <w:rPr>
        <w:rFonts w:ascii="Cambria Math" w:hAnsi="Cambria Math" w:hint="default"/>
      </w:rPr>
    </w:lvl>
    <w:lvl w:ilvl="5" w:tplc="A8B6FD1C" w:tentative="1">
      <w:start w:val="1"/>
      <w:numFmt w:val="bullet"/>
      <w:lvlText w:val="▰"/>
      <w:lvlJc w:val="left"/>
      <w:pPr>
        <w:tabs>
          <w:tab w:val="num" w:pos="4320"/>
        </w:tabs>
        <w:ind w:left="4320" w:hanging="360"/>
      </w:pPr>
      <w:rPr>
        <w:rFonts w:ascii="Cambria Math" w:hAnsi="Cambria Math" w:hint="default"/>
      </w:rPr>
    </w:lvl>
    <w:lvl w:ilvl="6" w:tplc="BEF0B72E" w:tentative="1">
      <w:start w:val="1"/>
      <w:numFmt w:val="bullet"/>
      <w:lvlText w:val="▰"/>
      <w:lvlJc w:val="left"/>
      <w:pPr>
        <w:tabs>
          <w:tab w:val="num" w:pos="5040"/>
        </w:tabs>
        <w:ind w:left="5040" w:hanging="360"/>
      </w:pPr>
      <w:rPr>
        <w:rFonts w:ascii="Cambria Math" w:hAnsi="Cambria Math" w:hint="default"/>
      </w:rPr>
    </w:lvl>
    <w:lvl w:ilvl="7" w:tplc="108C4216" w:tentative="1">
      <w:start w:val="1"/>
      <w:numFmt w:val="bullet"/>
      <w:lvlText w:val="▰"/>
      <w:lvlJc w:val="left"/>
      <w:pPr>
        <w:tabs>
          <w:tab w:val="num" w:pos="5760"/>
        </w:tabs>
        <w:ind w:left="5760" w:hanging="360"/>
      </w:pPr>
      <w:rPr>
        <w:rFonts w:ascii="Cambria Math" w:hAnsi="Cambria Math" w:hint="default"/>
      </w:rPr>
    </w:lvl>
    <w:lvl w:ilvl="8" w:tplc="ACE8F27C" w:tentative="1">
      <w:start w:val="1"/>
      <w:numFmt w:val="bullet"/>
      <w:lvlText w:val="▰"/>
      <w:lvlJc w:val="left"/>
      <w:pPr>
        <w:tabs>
          <w:tab w:val="num" w:pos="6480"/>
        </w:tabs>
        <w:ind w:left="6480" w:hanging="360"/>
      </w:pPr>
      <w:rPr>
        <w:rFonts w:ascii="Cambria Math" w:hAnsi="Cambria Math" w:hint="default"/>
      </w:rPr>
    </w:lvl>
  </w:abstractNum>
  <w:abstractNum w:abstractNumId="14" w15:restartNumberingAfterBreak="0">
    <w:nsid w:val="76D35082"/>
    <w:multiLevelType w:val="hybridMultilevel"/>
    <w:tmpl w:val="B3E63082"/>
    <w:lvl w:ilvl="0" w:tplc="502C3C78">
      <w:start w:val="1"/>
      <w:numFmt w:val="bullet"/>
      <w:lvlText w:val="▰"/>
      <w:lvlJc w:val="left"/>
      <w:pPr>
        <w:tabs>
          <w:tab w:val="num" w:pos="720"/>
        </w:tabs>
        <w:ind w:left="720" w:hanging="360"/>
      </w:pPr>
      <w:rPr>
        <w:rFonts w:ascii="Cambria Math" w:hAnsi="Cambria Math" w:hint="default"/>
      </w:rPr>
    </w:lvl>
    <w:lvl w:ilvl="1" w:tplc="1E0C22D0" w:tentative="1">
      <w:start w:val="1"/>
      <w:numFmt w:val="bullet"/>
      <w:lvlText w:val="▰"/>
      <w:lvlJc w:val="left"/>
      <w:pPr>
        <w:tabs>
          <w:tab w:val="num" w:pos="1440"/>
        </w:tabs>
        <w:ind w:left="1440" w:hanging="360"/>
      </w:pPr>
      <w:rPr>
        <w:rFonts w:ascii="Cambria Math" w:hAnsi="Cambria Math" w:hint="default"/>
      </w:rPr>
    </w:lvl>
    <w:lvl w:ilvl="2" w:tplc="F1A26ED0" w:tentative="1">
      <w:start w:val="1"/>
      <w:numFmt w:val="bullet"/>
      <w:lvlText w:val="▰"/>
      <w:lvlJc w:val="left"/>
      <w:pPr>
        <w:tabs>
          <w:tab w:val="num" w:pos="2160"/>
        </w:tabs>
        <w:ind w:left="2160" w:hanging="360"/>
      </w:pPr>
      <w:rPr>
        <w:rFonts w:ascii="Cambria Math" w:hAnsi="Cambria Math" w:hint="default"/>
      </w:rPr>
    </w:lvl>
    <w:lvl w:ilvl="3" w:tplc="8AEE4E2C" w:tentative="1">
      <w:start w:val="1"/>
      <w:numFmt w:val="bullet"/>
      <w:lvlText w:val="▰"/>
      <w:lvlJc w:val="left"/>
      <w:pPr>
        <w:tabs>
          <w:tab w:val="num" w:pos="2880"/>
        </w:tabs>
        <w:ind w:left="2880" w:hanging="360"/>
      </w:pPr>
      <w:rPr>
        <w:rFonts w:ascii="Cambria Math" w:hAnsi="Cambria Math" w:hint="default"/>
      </w:rPr>
    </w:lvl>
    <w:lvl w:ilvl="4" w:tplc="6B7CCC96" w:tentative="1">
      <w:start w:val="1"/>
      <w:numFmt w:val="bullet"/>
      <w:lvlText w:val="▰"/>
      <w:lvlJc w:val="left"/>
      <w:pPr>
        <w:tabs>
          <w:tab w:val="num" w:pos="3600"/>
        </w:tabs>
        <w:ind w:left="3600" w:hanging="360"/>
      </w:pPr>
      <w:rPr>
        <w:rFonts w:ascii="Cambria Math" w:hAnsi="Cambria Math" w:hint="default"/>
      </w:rPr>
    </w:lvl>
    <w:lvl w:ilvl="5" w:tplc="504E36B0" w:tentative="1">
      <w:start w:val="1"/>
      <w:numFmt w:val="bullet"/>
      <w:lvlText w:val="▰"/>
      <w:lvlJc w:val="left"/>
      <w:pPr>
        <w:tabs>
          <w:tab w:val="num" w:pos="4320"/>
        </w:tabs>
        <w:ind w:left="4320" w:hanging="360"/>
      </w:pPr>
      <w:rPr>
        <w:rFonts w:ascii="Cambria Math" w:hAnsi="Cambria Math" w:hint="default"/>
      </w:rPr>
    </w:lvl>
    <w:lvl w:ilvl="6" w:tplc="8960BC88" w:tentative="1">
      <w:start w:val="1"/>
      <w:numFmt w:val="bullet"/>
      <w:lvlText w:val="▰"/>
      <w:lvlJc w:val="left"/>
      <w:pPr>
        <w:tabs>
          <w:tab w:val="num" w:pos="5040"/>
        </w:tabs>
        <w:ind w:left="5040" w:hanging="360"/>
      </w:pPr>
      <w:rPr>
        <w:rFonts w:ascii="Cambria Math" w:hAnsi="Cambria Math" w:hint="default"/>
      </w:rPr>
    </w:lvl>
    <w:lvl w:ilvl="7" w:tplc="6512DAFE" w:tentative="1">
      <w:start w:val="1"/>
      <w:numFmt w:val="bullet"/>
      <w:lvlText w:val="▰"/>
      <w:lvlJc w:val="left"/>
      <w:pPr>
        <w:tabs>
          <w:tab w:val="num" w:pos="5760"/>
        </w:tabs>
        <w:ind w:left="5760" w:hanging="360"/>
      </w:pPr>
      <w:rPr>
        <w:rFonts w:ascii="Cambria Math" w:hAnsi="Cambria Math" w:hint="default"/>
      </w:rPr>
    </w:lvl>
    <w:lvl w:ilvl="8" w:tplc="D7380DEE" w:tentative="1">
      <w:start w:val="1"/>
      <w:numFmt w:val="bullet"/>
      <w:lvlText w:val="▰"/>
      <w:lvlJc w:val="left"/>
      <w:pPr>
        <w:tabs>
          <w:tab w:val="num" w:pos="6480"/>
        </w:tabs>
        <w:ind w:left="6480" w:hanging="360"/>
      </w:pPr>
      <w:rPr>
        <w:rFonts w:ascii="Cambria Math" w:hAnsi="Cambria Math" w:hint="default"/>
      </w:rPr>
    </w:lvl>
  </w:abstractNum>
  <w:abstractNum w:abstractNumId="15" w15:restartNumberingAfterBreak="0">
    <w:nsid w:val="799817D8"/>
    <w:multiLevelType w:val="hybridMultilevel"/>
    <w:tmpl w:val="5C349B6C"/>
    <w:lvl w:ilvl="0" w:tplc="55A2AA02">
      <w:start w:val="1"/>
      <w:numFmt w:val="decimal"/>
      <w:lvlText w:val="%1.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3162410">
    <w:abstractNumId w:val="2"/>
  </w:num>
  <w:num w:numId="2" w16cid:durableId="1796211080">
    <w:abstractNumId w:val="14"/>
  </w:num>
  <w:num w:numId="3" w16cid:durableId="1338465685">
    <w:abstractNumId w:val="4"/>
  </w:num>
  <w:num w:numId="4" w16cid:durableId="290671104">
    <w:abstractNumId w:val="13"/>
  </w:num>
  <w:num w:numId="5" w16cid:durableId="150870584">
    <w:abstractNumId w:val="3"/>
  </w:num>
  <w:num w:numId="6" w16cid:durableId="779299231">
    <w:abstractNumId w:val="12"/>
  </w:num>
  <w:num w:numId="7" w16cid:durableId="120073777">
    <w:abstractNumId w:val="8"/>
  </w:num>
  <w:num w:numId="8" w16cid:durableId="19283208">
    <w:abstractNumId w:val="1"/>
  </w:num>
  <w:num w:numId="9" w16cid:durableId="1536968740">
    <w:abstractNumId w:val="7"/>
  </w:num>
  <w:num w:numId="10" w16cid:durableId="642465943">
    <w:abstractNumId w:val="10"/>
  </w:num>
  <w:num w:numId="11" w16cid:durableId="1869176421">
    <w:abstractNumId w:val="5"/>
  </w:num>
  <w:num w:numId="12" w16cid:durableId="1746881908">
    <w:abstractNumId w:val="15"/>
  </w:num>
  <w:num w:numId="13" w16cid:durableId="2137673095">
    <w:abstractNumId w:val="0"/>
  </w:num>
  <w:num w:numId="14" w16cid:durableId="825635157">
    <w:abstractNumId w:val="6"/>
  </w:num>
  <w:num w:numId="15" w16cid:durableId="1830636389">
    <w:abstractNumId w:val="11"/>
  </w:num>
  <w:num w:numId="16" w16cid:durableId="1289237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0F"/>
    <w:rsid w:val="000144ED"/>
    <w:rsid w:val="00045DD2"/>
    <w:rsid w:val="000537B6"/>
    <w:rsid w:val="00062F34"/>
    <w:rsid w:val="00075936"/>
    <w:rsid w:val="000C30D9"/>
    <w:rsid w:val="000D3222"/>
    <w:rsid w:val="00112150"/>
    <w:rsid w:val="00113CD6"/>
    <w:rsid w:val="00123895"/>
    <w:rsid w:val="00125608"/>
    <w:rsid w:val="001309F9"/>
    <w:rsid w:val="001B1481"/>
    <w:rsid w:val="001E56BE"/>
    <w:rsid w:val="001E74A9"/>
    <w:rsid w:val="001F00A3"/>
    <w:rsid w:val="001F30C8"/>
    <w:rsid w:val="00297F17"/>
    <w:rsid w:val="002A636D"/>
    <w:rsid w:val="002D5B72"/>
    <w:rsid w:val="00323702"/>
    <w:rsid w:val="003646A8"/>
    <w:rsid w:val="00365800"/>
    <w:rsid w:val="003F1453"/>
    <w:rsid w:val="004356DF"/>
    <w:rsid w:val="004358D3"/>
    <w:rsid w:val="004413F4"/>
    <w:rsid w:val="0046678F"/>
    <w:rsid w:val="00471181"/>
    <w:rsid w:val="004B1BB6"/>
    <w:rsid w:val="004B6B8A"/>
    <w:rsid w:val="004F2D6B"/>
    <w:rsid w:val="00511000"/>
    <w:rsid w:val="00511E45"/>
    <w:rsid w:val="005152B3"/>
    <w:rsid w:val="00577D09"/>
    <w:rsid w:val="0058426F"/>
    <w:rsid w:val="005C6145"/>
    <w:rsid w:val="005D1DC4"/>
    <w:rsid w:val="005D55BB"/>
    <w:rsid w:val="005F1B2D"/>
    <w:rsid w:val="00636349"/>
    <w:rsid w:val="006468EC"/>
    <w:rsid w:val="00654F8E"/>
    <w:rsid w:val="006666B0"/>
    <w:rsid w:val="00667EED"/>
    <w:rsid w:val="00670C1F"/>
    <w:rsid w:val="00683BD0"/>
    <w:rsid w:val="006A4299"/>
    <w:rsid w:val="006B5DD3"/>
    <w:rsid w:val="006C07C5"/>
    <w:rsid w:val="006E7D5F"/>
    <w:rsid w:val="0076690A"/>
    <w:rsid w:val="007708B8"/>
    <w:rsid w:val="00811A17"/>
    <w:rsid w:val="00855375"/>
    <w:rsid w:val="0086373D"/>
    <w:rsid w:val="008731CA"/>
    <w:rsid w:val="00883D3C"/>
    <w:rsid w:val="008A3FA8"/>
    <w:rsid w:val="008A5D76"/>
    <w:rsid w:val="008F732C"/>
    <w:rsid w:val="009037B5"/>
    <w:rsid w:val="00913467"/>
    <w:rsid w:val="00945F0F"/>
    <w:rsid w:val="009541B9"/>
    <w:rsid w:val="009639D8"/>
    <w:rsid w:val="00987DAA"/>
    <w:rsid w:val="009B48EC"/>
    <w:rsid w:val="009C3924"/>
    <w:rsid w:val="009D172B"/>
    <w:rsid w:val="00A27392"/>
    <w:rsid w:val="00A432A5"/>
    <w:rsid w:val="00A70FDB"/>
    <w:rsid w:val="00A717E7"/>
    <w:rsid w:val="00A74CA8"/>
    <w:rsid w:val="00A7796A"/>
    <w:rsid w:val="00A83813"/>
    <w:rsid w:val="00A90019"/>
    <w:rsid w:val="00A950F6"/>
    <w:rsid w:val="00AC537A"/>
    <w:rsid w:val="00BD352B"/>
    <w:rsid w:val="00BF0BAC"/>
    <w:rsid w:val="00C046F1"/>
    <w:rsid w:val="00C85E58"/>
    <w:rsid w:val="00CC14C6"/>
    <w:rsid w:val="00D05D4A"/>
    <w:rsid w:val="00D31867"/>
    <w:rsid w:val="00D33C28"/>
    <w:rsid w:val="00D61C8D"/>
    <w:rsid w:val="00D65D37"/>
    <w:rsid w:val="00D81252"/>
    <w:rsid w:val="00DB025F"/>
    <w:rsid w:val="00DD36CC"/>
    <w:rsid w:val="00DD7F39"/>
    <w:rsid w:val="00DF08D3"/>
    <w:rsid w:val="00DF23B3"/>
    <w:rsid w:val="00E44BEA"/>
    <w:rsid w:val="00E504DF"/>
    <w:rsid w:val="00E94ED9"/>
    <w:rsid w:val="00EA2DE8"/>
    <w:rsid w:val="00EB70DD"/>
    <w:rsid w:val="00ED53F6"/>
    <w:rsid w:val="00F26A32"/>
    <w:rsid w:val="00F367BA"/>
    <w:rsid w:val="00F55040"/>
    <w:rsid w:val="00FD209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5E4F"/>
  <w15:chartTrackingRefBased/>
  <w15:docId w15:val="{E27983F2-7E69-4ADC-9B48-4535D2E1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46A8"/>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1E74A9"/>
    <w:pPr>
      <w:ind w:left="720"/>
      <w:contextualSpacing/>
    </w:pPr>
  </w:style>
  <w:style w:type="paragraph" w:styleId="Header">
    <w:name w:val="header"/>
    <w:basedOn w:val="Normal"/>
    <w:link w:val="HeaderChar"/>
    <w:uiPriority w:val="99"/>
    <w:unhideWhenUsed/>
    <w:rsid w:val="00A273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392"/>
  </w:style>
  <w:style w:type="paragraph" w:styleId="Footer">
    <w:name w:val="footer"/>
    <w:basedOn w:val="Normal"/>
    <w:link w:val="FooterChar"/>
    <w:uiPriority w:val="99"/>
    <w:unhideWhenUsed/>
    <w:rsid w:val="00A273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6589">
      <w:bodyDiv w:val="1"/>
      <w:marLeft w:val="0"/>
      <w:marRight w:val="0"/>
      <w:marTop w:val="0"/>
      <w:marBottom w:val="0"/>
      <w:divBdr>
        <w:top w:val="none" w:sz="0" w:space="0" w:color="auto"/>
        <w:left w:val="none" w:sz="0" w:space="0" w:color="auto"/>
        <w:bottom w:val="none" w:sz="0" w:space="0" w:color="auto"/>
        <w:right w:val="none" w:sz="0" w:space="0" w:color="auto"/>
      </w:divBdr>
    </w:div>
    <w:div w:id="227034950">
      <w:bodyDiv w:val="1"/>
      <w:marLeft w:val="0"/>
      <w:marRight w:val="0"/>
      <w:marTop w:val="0"/>
      <w:marBottom w:val="0"/>
      <w:divBdr>
        <w:top w:val="none" w:sz="0" w:space="0" w:color="auto"/>
        <w:left w:val="none" w:sz="0" w:space="0" w:color="auto"/>
        <w:bottom w:val="none" w:sz="0" w:space="0" w:color="auto"/>
        <w:right w:val="none" w:sz="0" w:space="0" w:color="auto"/>
      </w:divBdr>
      <w:divsChild>
        <w:div w:id="386496860">
          <w:marLeft w:val="446"/>
          <w:marRight w:val="0"/>
          <w:marTop w:val="0"/>
          <w:marBottom w:val="160"/>
          <w:divBdr>
            <w:top w:val="none" w:sz="0" w:space="0" w:color="auto"/>
            <w:left w:val="none" w:sz="0" w:space="0" w:color="auto"/>
            <w:bottom w:val="none" w:sz="0" w:space="0" w:color="auto"/>
            <w:right w:val="none" w:sz="0" w:space="0" w:color="auto"/>
          </w:divBdr>
        </w:div>
        <w:div w:id="1798719374">
          <w:marLeft w:val="446"/>
          <w:marRight w:val="0"/>
          <w:marTop w:val="0"/>
          <w:marBottom w:val="160"/>
          <w:divBdr>
            <w:top w:val="none" w:sz="0" w:space="0" w:color="auto"/>
            <w:left w:val="none" w:sz="0" w:space="0" w:color="auto"/>
            <w:bottom w:val="none" w:sz="0" w:space="0" w:color="auto"/>
            <w:right w:val="none" w:sz="0" w:space="0" w:color="auto"/>
          </w:divBdr>
        </w:div>
        <w:div w:id="1771854755">
          <w:marLeft w:val="446"/>
          <w:marRight w:val="0"/>
          <w:marTop w:val="0"/>
          <w:marBottom w:val="160"/>
          <w:divBdr>
            <w:top w:val="none" w:sz="0" w:space="0" w:color="auto"/>
            <w:left w:val="none" w:sz="0" w:space="0" w:color="auto"/>
            <w:bottom w:val="none" w:sz="0" w:space="0" w:color="auto"/>
            <w:right w:val="none" w:sz="0" w:space="0" w:color="auto"/>
          </w:divBdr>
        </w:div>
      </w:divsChild>
    </w:div>
    <w:div w:id="851186656">
      <w:bodyDiv w:val="1"/>
      <w:marLeft w:val="0"/>
      <w:marRight w:val="0"/>
      <w:marTop w:val="0"/>
      <w:marBottom w:val="0"/>
      <w:divBdr>
        <w:top w:val="none" w:sz="0" w:space="0" w:color="auto"/>
        <w:left w:val="none" w:sz="0" w:space="0" w:color="auto"/>
        <w:bottom w:val="none" w:sz="0" w:space="0" w:color="auto"/>
        <w:right w:val="none" w:sz="0" w:space="0" w:color="auto"/>
      </w:divBdr>
      <w:divsChild>
        <w:div w:id="1570268524">
          <w:marLeft w:val="446"/>
          <w:marRight w:val="0"/>
          <w:marTop w:val="0"/>
          <w:marBottom w:val="160"/>
          <w:divBdr>
            <w:top w:val="none" w:sz="0" w:space="0" w:color="auto"/>
            <w:left w:val="none" w:sz="0" w:space="0" w:color="auto"/>
            <w:bottom w:val="none" w:sz="0" w:space="0" w:color="auto"/>
            <w:right w:val="none" w:sz="0" w:space="0" w:color="auto"/>
          </w:divBdr>
        </w:div>
        <w:div w:id="1375496324">
          <w:marLeft w:val="446"/>
          <w:marRight w:val="0"/>
          <w:marTop w:val="0"/>
          <w:marBottom w:val="160"/>
          <w:divBdr>
            <w:top w:val="none" w:sz="0" w:space="0" w:color="auto"/>
            <w:left w:val="none" w:sz="0" w:space="0" w:color="auto"/>
            <w:bottom w:val="none" w:sz="0" w:space="0" w:color="auto"/>
            <w:right w:val="none" w:sz="0" w:space="0" w:color="auto"/>
          </w:divBdr>
        </w:div>
        <w:div w:id="2103447963">
          <w:marLeft w:val="446"/>
          <w:marRight w:val="0"/>
          <w:marTop w:val="0"/>
          <w:marBottom w:val="160"/>
          <w:divBdr>
            <w:top w:val="none" w:sz="0" w:space="0" w:color="auto"/>
            <w:left w:val="none" w:sz="0" w:space="0" w:color="auto"/>
            <w:bottom w:val="none" w:sz="0" w:space="0" w:color="auto"/>
            <w:right w:val="none" w:sz="0" w:space="0" w:color="auto"/>
          </w:divBdr>
        </w:div>
        <w:div w:id="1608150692">
          <w:marLeft w:val="446"/>
          <w:marRight w:val="0"/>
          <w:marTop w:val="0"/>
          <w:marBottom w:val="160"/>
          <w:divBdr>
            <w:top w:val="none" w:sz="0" w:space="0" w:color="auto"/>
            <w:left w:val="none" w:sz="0" w:space="0" w:color="auto"/>
            <w:bottom w:val="none" w:sz="0" w:space="0" w:color="auto"/>
            <w:right w:val="none" w:sz="0" w:space="0" w:color="auto"/>
          </w:divBdr>
        </w:div>
      </w:divsChild>
    </w:div>
    <w:div w:id="951859652">
      <w:bodyDiv w:val="1"/>
      <w:marLeft w:val="0"/>
      <w:marRight w:val="0"/>
      <w:marTop w:val="0"/>
      <w:marBottom w:val="0"/>
      <w:divBdr>
        <w:top w:val="none" w:sz="0" w:space="0" w:color="auto"/>
        <w:left w:val="none" w:sz="0" w:space="0" w:color="auto"/>
        <w:bottom w:val="none" w:sz="0" w:space="0" w:color="auto"/>
        <w:right w:val="none" w:sz="0" w:space="0" w:color="auto"/>
      </w:divBdr>
      <w:divsChild>
        <w:div w:id="1861116609">
          <w:marLeft w:val="446"/>
          <w:marRight w:val="0"/>
          <w:marTop w:val="0"/>
          <w:marBottom w:val="160"/>
          <w:divBdr>
            <w:top w:val="none" w:sz="0" w:space="0" w:color="auto"/>
            <w:left w:val="none" w:sz="0" w:space="0" w:color="auto"/>
            <w:bottom w:val="none" w:sz="0" w:space="0" w:color="auto"/>
            <w:right w:val="none" w:sz="0" w:space="0" w:color="auto"/>
          </w:divBdr>
        </w:div>
        <w:div w:id="511262207">
          <w:marLeft w:val="446"/>
          <w:marRight w:val="0"/>
          <w:marTop w:val="0"/>
          <w:marBottom w:val="160"/>
          <w:divBdr>
            <w:top w:val="none" w:sz="0" w:space="0" w:color="auto"/>
            <w:left w:val="none" w:sz="0" w:space="0" w:color="auto"/>
            <w:bottom w:val="none" w:sz="0" w:space="0" w:color="auto"/>
            <w:right w:val="none" w:sz="0" w:space="0" w:color="auto"/>
          </w:divBdr>
        </w:div>
        <w:div w:id="931359099">
          <w:marLeft w:val="446"/>
          <w:marRight w:val="0"/>
          <w:marTop w:val="0"/>
          <w:marBottom w:val="160"/>
          <w:divBdr>
            <w:top w:val="none" w:sz="0" w:space="0" w:color="auto"/>
            <w:left w:val="none" w:sz="0" w:space="0" w:color="auto"/>
            <w:bottom w:val="none" w:sz="0" w:space="0" w:color="auto"/>
            <w:right w:val="none" w:sz="0" w:space="0" w:color="auto"/>
          </w:divBdr>
        </w:div>
      </w:divsChild>
    </w:div>
    <w:div w:id="955260979">
      <w:bodyDiv w:val="1"/>
      <w:marLeft w:val="0"/>
      <w:marRight w:val="0"/>
      <w:marTop w:val="0"/>
      <w:marBottom w:val="0"/>
      <w:divBdr>
        <w:top w:val="none" w:sz="0" w:space="0" w:color="auto"/>
        <w:left w:val="none" w:sz="0" w:space="0" w:color="auto"/>
        <w:bottom w:val="none" w:sz="0" w:space="0" w:color="auto"/>
        <w:right w:val="none" w:sz="0" w:space="0" w:color="auto"/>
      </w:divBdr>
    </w:div>
    <w:div w:id="1096511242">
      <w:bodyDiv w:val="1"/>
      <w:marLeft w:val="0"/>
      <w:marRight w:val="0"/>
      <w:marTop w:val="0"/>
      <w:marBottom w:val="0"/>
      <w:divBdr>
        <w:top w:val="none" w:sz="0" w:space="0" w:color="auto"/>
        <w:left w:val="none" w:sz="0" w:space="0" w:color="auto"/>
        <w:bottom w:val="none" w:sz="0" w:space="0" w:color="auto"/>
        <w:right w:val="none" w:sz="0" w:space="0" w:color="auto"/>
      </w:divBdr>
      <w:divsChild>
        <w:div w:id="885339955">
          <w:marLeft w:val="446"/>
          <w:marRight w:val="0"/>
          <w:marTop w:val="0"/>
          <w:marBottom w:val="160"/>
          <w:divBdr>
            <w:top w:val="none" w:sz="0" w:space="0" w:color="auto"/>
            <w:left w:val="none" w:sz="0" w:space="0" w:color="auto"/>
            <w:bottom w:val="none" w:sz="0" w:space="0" w:color="auto"/>
            <w:right w:val="none" w:sz="0" w:space="0" w:color="auto"/>
          </w:divBdr>
        </w:div>
      </w:divsChild>
    </w:div>
    <w:div w:id="1627930522">
      <w:bodyDiv w:val="1"/>
      <w:marLeft w:val="0"/>
      <w:marRight w:val="0"/>
      <w:marTop w:val="0"/>
      <w:marBottom w:val="0"/>
      <w:divBdr>
        <w:top w:val="none" w:sz="0" w:space="0" w:color="auto"/>
        <w:left w:val="none" w:sz="0" w:space="0" w:color="auto"/>
        <w:bottom w:val="none" w:sz="0" w:space="0" w:color="auto"/>
        <w:right w:val="none" w:sz="0" w:space="0" w:color="auto"/>
      </w:divBdr>
      <w:divsChild>
        <w:div w:id="1432625836">
          <w:marLeft w:val="446"/>
          <w:marRight w:val="0"/>
          <w:marTop w:val="0"/>
          <w:marBottom w:val="160"/>
          <w:divBdr>
            <w:top w:val="none" w:sz="0" w:space="0" w:color="auto"/>
            <w:left w:val="none" w:sz="0" w:space="0" w:color="auto"/>
            <w:bottom w:val="none" w:sz="0" w:space="0" w:color="auto"/>
            <w:right w:val="none" w:sz="0" w:space="0" w:color="auto"/>
          </w:divBdr>
        </w:div>
        <w:div w:id="1842810373">
          <w:marLeft w:val="446"/>
          <w:marRight w:val="0"/>
          <w:marTop w:val="0"/>
          <w:marBottom w:val="0"/>
          <w:divBdr>
            <w:top w:val="none" w:sz="0" w:space="0" w:color="auto"/>
            <w:left w:val="none" w:sz="0" w:space="0" w:color="auto"/>
            <w:bottom w:val="none" w:sz="0" w:space="0" w:color="auto"/>
            <w:right w:val="none" w:sz="0" w:space="0" w:color="auto"/>
          </w:divBdr>
        </w:div>
        <w:div w:id="726689778">
          <w:marLeft w:val="446"/>
          <w:marRight w:val="0"/>
          <w:marTop w:val="0"/>
          <w:marBottom w:val="0"/>
          <w:divBdr>
            <w:top w:val="none" w:sz="0" w:space="0" w:color="auto"/>
            <w:left w:val="none" w:sz="0" w:space="0" w:color="auto"/>
            <w:bottom w:val="none" w:sz="0" w:space="0" w:color="auto"/>
            <w:right w:val="none" w:sz="0" w:space="0" w:color="auto"/>
          </w:divBdr>
        </w:div>
      </w:divsChild>
    </w:div>
    <w:div w:id="1674189289">
      <w:bodyDiv w:val="1"/>
      <w:marLeft w:val="0"/>
      <w:marRight w:val="0"/>
      <w:marTop w:val="0"/>
      <w:marBottom w:val="0"/>
      <w:divBdr>
        <w:top w:val="none" w:sz="0" w:space="0" w:color="auto"/>
        <w:left w:val="none" w:sz="0" w:space="0" w:color="auto"/>
        <w:bottom w:val="none" w:sz="0" w:space="0" w:color="auto"/>
        <w:right w:val="none" w:sz="0" w:space="0" w:color="auto"/>
      </w:divBdr>
      <w:divsChild>
        <w:div w:id="789008562">
          <w:marLeft w:val="446"/>
          <w:marRight w:val="0"/>
          <w:marTop w:val="0"/>
          <w:marBottom w:val="160"/>
          <w:divBdr>
            <w:top w:val="none" w:sz="0" w:space="0" w:color="auto"/>
            <w:left w:val="none" w:sz="0" w:space="0" w:color="auto"/>
            <w:bottom w:val="none" w:sz="0" w:space="0" w:color="auto"/>
            <w:right w:val="none" w:sz="0" w:space="0" w:color="auto"/>
          </w:divBdr>
        </w:div>
        <w:div w:id="893203922">
          <w:marLeft w:val="446"/>
          <w:marRight w:val="0"/>
          <w:marTop w:val="0"/>
          <w:marBottom w:val="160"/>
          <w:divBdr>
            <w:top w:val="none" w:sz="0" w:space="0" w:color="auto"/>
            <w:left w:val="none" w:sz="0" w:space="0" w:color="auto"/>
            <w:bottom w:val="none" w:sz="0" w:space="0" w:color="auto"/>
            <w:right w:val="none" w:sz="0" w:space="0" w:color="auto"/>
          </w:divBdr>
        </w:div>
      </w:divsChild>
    </w:div>
    <w:div w:id="2000107526">
      <w:bodyDiv w:val="1"/>
      <w:marLeft w:val="0"/>
      <w:marRight w:val="0"/>
      <w:marTop w:val="0"/>
      <w:marBottom w:val="0"/>
      <w:divBdr>
        <w:top w:val="none" w:sz="0" w:space="0" w:color="auto"/>
        <w:left w:val="none" w:sz="0" w:space="0" w:color="auto"/>
        <w:bottom w:val="none" w:sz="0" w:space="0" w:color="auto"/>
        <w:right w:val="none" w:sz="0" w:space="0" w:color="auto"/>
      </w:divBdr>
      <w:divsChild>
        <w:div w:id="1760788029">
          <w:marLeft w:val="446"/>
          <w:marRight w:val="0"/>
          <w:marTop w:val="0"/>
          <w:marBottom w:val="160"/>
          <w:divBdr>
            <w:top w:val="none" w:sz="0" w:space="0" w:color="auto"/>
            <w:left w:val="none" w:sz="0" w:space="0" w:color="auto"/>
            <w:bottom w:val="none" w:sz="0" w:space="0" w:color="auto"/>
            <w:right w:val="none" w:sz="0" w:space="0" w:color="auto"/>
          </w:divBdr>
        </w:div>
        <w:div w:id="2034762118">
          <w:marLeft w:val="446"/>
          <w:marRight w:val="0"/>
          <w:marTop w:val="0"/>
          <w:marBottom w:val="160"/>
          <w:divBdr>
            <w:top w:val="none" w:sz="0" w:space="0" w:color="auto"/>
            <w:left w:val="none" w:sz="0" w:space="0" w:color="auto"/>
            <w:bottom w:val="none" w:sz="0" w:space="0" w:color="auto"/>
            <w:right w:val="none" w:sz="0" w:space="0" w:color="auto"/>
          </w:divBdr>
        </w:div>
      </w:divsChild>
    </w:div>
    <w:div w:id="2107190478">
      <w:bodyDiv w:val="1"/>
      <w:marLeft w:val="0"/>
      <w:marRight w:val="0"/>
      <w:marTop w:val="0"/>
      <w:marBottom w:val="0"/>
      <w:divBdr>
        <w:top w:val="none" w:sz="0" w:space="0" w:color="auto"/>
        <w:left w:val="none" w:sz="0" w:space="0" w:color="auto"/>
        <w:bottom w:val="none" w:sz="0" w:space="0" w:color="auto"/>
        <w:right w:val="none" w:sz="0" w:space="0" w:color="auto"/>
      </w:divBdr>
      <w:divsChild>
        <w:div w:id="1432552665">
          <w:marLeft w:val="446"/>
          <w:marRight w:val="0"/>
          <w:marTop w:val="0"/>
          <w:marBottom w:val="160"/>
          <w:divBdr>
            <w:top w:val="none" w:sz="0" w:space="0" w:color="auto"/>
            <w:left w:val="none" w:sz="0" w:space="0" w:color="auto"/>
            <w:bottom w:val="none" w:sz="0" w:space="0" w:color="auto"/>
            <w:right w:val="none" w:sz="0" w:space="0" w:color="auto"/>
          </w:divBdr>
        </w:div>
        <w:div w:id="1802117532">
          <w:marLeft w:val="446"/>
          <w:marRight w:val="0"/>
          <w:marTop w:val="0"/>
          <w:marBottom w:val="160"/>
          <w:divBdr>
            <w:top w:val="none" w:sz="0" w:space="0" w:color="auto"/>
            <w:left w:val="none" w:sz="0" w:space="0" w:color="auto"/>
            <w:bottom w:val="none" w:sz="0" w:space="0" w:color="auto"/>
            <w:right w:val="none" w:sz="0" w:space="0" w:color="auto"/>
          </w:divBdr>
        </w:div>
        <w:div w:id="1242829563">
          <w:marLeft w:val="446"/>
          <w:marRight w:val="0"/>
          <w:marTop w:val="0"/>
          <w:marBottom w:val="160"/>
          <w:divBdr>
            <w:top w:val="none" w:sz="0" w:space="0" w:color="auto"/>
            <w:left w:val="none" w:sz="0" w:space="0" w:color="auto"/>
            <w:bottom w:val="none" w:sz="0" w:space="0" w:color="auto"/>
            <w:right w:val="none" w:sz="0" w:space="0" w:color="auto"/>
          </w:divBdr>
        </w:div>
        <w:div w:id="222524814">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Makarouna</dc:creator>
  <cp:keywords/>
  <dc:description/>
  <cp:lastModifiedBy>Symeonidou  Nayia</cp:lastModifiedBy>
  <cp:revision>2</cp:revision>
  <dcterms:created xsi:type="dcterms:W3CDTF">2024-04-15T11:35:00Z</dcterms:created>
  <dcterms:modified xsi:type="dcterms:W3CDTF">2024-04-15T11:35:00Z</dcterms:modified>
</cp:coreProperties>
</file>