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EB5A" w14:textId="325724E6" w:rsidR="00DA3B60" w:rsidRPr="00F34F9B" w:rsidRDefault="007B1E4F" w:rsidP="00FB4938">
      <w:pPr>
        <w:spacing w:after="0" w:line="240" w:lineRule="auto"/>
        <w:jc w:val="center"/>
        <w:rPr>
          <w:rFonts w:ascii="Tahoma" w:hAnsi="Tahoma" w:cs="Tahoma"/>
          <w:b/>
          <w:bCs/>
          <w:u w:val="single"/>
          <w:lang w:val="el-GR"/>
        </w:rPr>
      </w:pPr>
      <w:r w:rsidRPr="00F34F9B">
        <w:rPr>
          <w:rFonts w:ascii="Tahoma" w:hAnsi="Tahoma" w:cs="Tahoma"/>
          <w:b/>
          <w:bCs/>
          <w:u w:val="single"/>
          <w:lang w:val="el-GR"/>
        </w:rPr>
        <w:t>Άρθρο Φ:</w:t>
      </w:r>
    </w:p>
    <w:p w14:paraId="57426302" w14:textId="77777777" w:rsidR="00F34F9B" w:rsidRPr="00F34F9B" w:rsidRDefault="00F34F9B" w:rsidP="00F34F9B">
      <w:pPr>
        <w:spacing w:after="0"/>
        <w:jc w:val="center"/>
        <w:rPr>
          <w:rFonts w:ascii="Tahoma" w:hAnsi="Tahoma" w:cs="Tahoma"/>
          <w:b/>
          <w:bCs/>
          <w:lang w:val="el-GR"/>
        </w:rPr>
      </w:pPr>
      <w:r w:rsidRPr="00F34F9B">
        <w:rPr>
          <w:rFonts w:ascii="Tahoma" w:hAnsi="Tahoma" w:cs="Tahoma"/>
          <w:b/>
          <w:bCs/>
          <w:lang w:val="el-GR"/>
        </w:rPr>
        <w:t>Κομβικής σημασίας έτος το 2024</w:t>
      </w:r>
    </w:p>
    <w:p w14:paraId="28DD1EC5" w14:textId="77777777" w:rsidR="00F34F9B" w:rsidRPr="00F34F9B" w:rsidRDefault="00F34F9B" w:rsidP="00F34F9B">
      <w:pPr>
        <w:jc w:val="center"/>
        <w:rPr>
          <w:rFonts w:ascii="Tahoma" w:hAnsi="Tahoma" w:cs="Tahoma"/>
          <w:b/>
          <w:bCs/>
          <w:lang w:val="el-GR"/>
        </w:rPr>
      </w:pPr>
      <w:r w:rsidRPr="00F34F9B">
        <w:rPr>
          <w:rFonts w:ascii="Tahoma" w:hAnsi="Tahoma" w:cs="Tahoma"/>
          <w:b/>
          <w:bCs/>
          <w:lang w:val="el-GR"/>
        </w:rPr>
        <w:t>Η ΟΕΒ σημαντικός σύμμαχος των επιχειρήσεων</w:t>
      </w:r>
    </w:p>
    <w:p w14:paraId="764CE744" w14:textId="504BDA80" w:rsidR="00F34F9B" w:rsidRPr="00F34F9B" w:rsidRDefault="00F34F9B" w:rsidP="00F34F9B">
      <w:pPr>
        <w:jc w:val="both"/>
        <w:rPr>
          <w:rFonts w:ascii="Tahoma" w:hAnsi="Tahoma" w:cs="Tahoma"/>
          <w:lang w:val="el-GR"/>
        </w:rPr>
      </w:pPr>
      <w:r w:rsidRPr="00F34F9B">
        <w:rPr>
          <w:rFonts w:ascii="Tahoma" w:hAnsi="Tahoma" w:cs="Tahoma"/>
          <w:lang w:val="el-GR"/>
        </w:rPr>
        <w:t xml:space="preserve">Το 2024 φέρνει μια σειρά από προκλήσεις για τις επιχειρήσεις, </w:t>
      </w:r>
      <w:r w:rsidR="00C40959">
        <w:rPr>
          <w:rFonts w:ascii="Tahoma" w:hAnsi="Tahoma" w:cs="Tahoma"/>
          <w:lang w:val="el-GR"/>
        </w:rPr>
        <w:t xml:space="preserve">που παλεύουν για </w:t>
      </w:r>
      <w:r w:rsidRPr="00F34F9B">
        <w:rPr>
          <w:rFonts w:ascii="Tahoma" w:hAnsi="Tahoma" w:cs="Tahoma"/>
          <w:lang w:val="el-GR"/>
        </w:rPr>
        <w:t>την προσαρμογή τους σε έναν ταχέως εξελισσόμενο κόσμο. Η εξεύρεση και διατήρηση κατάλληλου ανθρώπινου δυναμικού,</w:t>
      </w:r>
      <w:r w:rsidR="00C40959">
        <w:rPr>
          <w:rFonts w:ascii="Tahoma" w:hAnsi="Tahoma" w:cs="Tahoma"/>
          <w:lang w:val="el-GR"/>
        </w:rPr>
        <w:t xml:space="preserve"> η</w:t>
      </w:r>
      <w:r w:rsidRPr="00F34F9B">
        <w:rPr>
          <w:rFonts w:ascii="Tahoma" w:hAnsi="Tahoma" w:cs="Tahoma"/>
          <w:lang w:val="el-GR"/>
        </w:rPr>
        <w:t xml:space="preserve"> τεχνολογικ</w:t>
      </w:r>
      <w:r w:rsidR="00C40959">
        <w:rPr>
          <w:rFonts w:ascii="Tahoma" w:hAnsi="Tahoma" w:cs="Tahoma"/>
          <w:lang w:val="el-GR"/>
        </w:rPr>
        <w:t>ή</w:t>
      </w:r>
      <w:r w:rsidRPr="00F34F9B">
        <w:rPr>
          <w:rFonts w:ascii="Tahoma" w:hAnsi="Tahoma" w:cs="Tahoma"/>
          <w:lang w:val="el-GR"/>
        </w:rPr>
        <w:t xml:space="preserve"> </w:t>
      </w:r>
      <w:r w:rsidR="00C40959">
        <w:rPr>
          <w:rFonts w:ascii="Tahoma" w:hAnsi="Tahoma" w:cs="Tahoma"/>
          <w:lang w:val="el-GR"/>
        </w:rPr>
        <w:t>πρόοδος</w:t>
      </w:r>
      <w:r w:rsidRPr="00F34F9B">
        <w:rPr>
          <w:rFonts w:ascii="Tahoma" w:hAnsi="Tahoma" w:cs="Tahoma"/>
          <w:lang w:val="el-GR"/>
        </w:rPr>
        <w:t>, η ασφάλεια δεδομένων, οι νομοθετικές αλλαγές και οι κοινωνικές τάσεις αποτελούν μόνο μερικές από τις προκλήσεις που καλούνται να αντιμετωπίσουν. Η Ομοσπονδία Εργοδοτών &amp; Βιομηχάνων (ΟΕΒ) βρίσκεται συνεχώς σε εγρήγορση με σκοπό την παροχή ολοκληρωμένων υπηρεσιών που θα βοηθήσουν τις επιχειρήσεις να αντιμετωπίσουν όλα όσα αναδύονται, διατηρώντας και αυξάνοντας την ανταγωνιστικότητά τους.</w:t>
      </w:r>
    </w:p>
    <w:p w14:paraId="7F51171B" w14:textId="77777777" w:rsidR="00F34F9B" w:rsidRPr="00F34F9B" w:rsidRDefault="00F34F9B" w:rsidP="00F34F9B">
      <w:pPr>
        <w:jc w:val="both"/>
        <w:rPr>
          <w:rFonts w:ascii="Tahoma" w:hAnsi="Tahoma" w:cs="Tahoma"/>
          <w:lang w:val="el-GR"/>
        </w:rPr>
      </w:pPr>
      <w:r w:rsidRPr="00F34F9B">
        <w:rPr>
          <w:rFonts w:ascii="Tahoma" w:hAnsi="Tahoma" w:cs="Tahoma"/>
          <w:lang w:val="el-GR"/>
        </w:rPr>
        <w:t xml:space="preserve">Η έλλειψη ανθρώπινου δυναμικού αποτελεί μία από τις κύριες προκλήσεις για τις επιχειρήσεις το 2024. Οι αλλαγές στις απαιτούμενες δεξιότητες λόγω τεχνολογικής εξέλιξης και η αυτοματοποίηση εργασιών είναι η μία παράμετρος που συντελεί σε αυτήν την έλλειψη. Οι επιχειρήσεις χρειάζεται να επενδύσουν στην εκπαίδευση και ανάπτυξη δεξιοτήτων των υπαλλήλων τους, δημιουργώντας ευέλικτα προγράμματα κατάρτισης για να αντιμετωπίσουν τις απαιτήσεις της αγοράς εργασίας και να προσελκύσουν ταλαντούχους εργαζομένους. Επιπλέον, η δημιουργία ενός ευέλικτου περιβάλλοντος εργασίας που προάγει την ανάπτυξη των εργαζομένων είναι κρίσιμη για την αντιμετώπιση της έλλειψης ανθρώπινου δυναμικού. </w:t>
      </w:r>
    </w:p>
    <w:p w14:paraId="64F06D4E" w14:textId="77777777" w:rsidR="00F34F9B" w:rsidRPr="00F34F9B" w:rsidRDefault="00F34F9B" w:rsidP="00F34F9B">
      <w:pPr>
        <w:jc w:val="both"/>
        <w:rPr>
          <w:rFonts w:ascii="Tahoma" w:hAnsi="Tahoma" w:cs="Tahoma"/>
          <w:lang w:val="el-GR"/>
        </w:rPr>
      </w:pPr>
      <w:r w:rsidRPr="00F34F9B">
        <w:rPr>
          <w:rFonts w:ascii="Tahoma" w:hAnsi="Tahoma" w:cs="Tahoma"/>
          <w:lang w:val="el-GR"/>
        </w:rPr>
        <w:t>Ταυτόχρονα με τις νέες ανάγκες που δημιουργούνται, σημαντικότερη είναι η έλλειψη που παρατηρείται σε πολλά άλλα επαγγέλματα σε διάφορους τομείς, όπως ο τουρισμός, η εστίαση, οι κατασκευές, τα τεχνικά επαγγέλματα οι υπηρεσίες κ.α. Αυτό είναι αποτέλεσμα των δημογραφικών δεδομένων της Ευρωπαϊκής Ένωσης, αφού αποτελεί την Ήπειρο με τον πιο γερασμένο πληθυσμό. Ελέω της γήρανσης αυτής, οι μελέτες καταδεικνύουν  πως μέχρι το 2035, οι ανθρώπινοι πόροι της ΕΕ θα μειωθούν κατά 50 εκατομμύρια σε σύγκριση με το 2010. Ένα τεράστιο κενό το οποίο θα πρέπει έγκαιρα να καλυφθεί επαρκώς. Για την Κύπρο, επιβάλλεται η ορθή εφαρμογή της Στρατηγικής Απασχόλησης Αλλοδαπών από Τρίτες Χώρες, έτσι ώστε να καλυφθούν άμεσα οι κύριες ανάγκες των επιχειρήσεων για να παραμείνουν ανταγωνιστικές χωρίς να μειώνεται το επίπεδο των υπηρεσιών τους.</w:t>
      </w:r>
    </w:p>
    <w:p w14:paraId="769E24F8" w14:textId="40B14065" w:rsidR="00F34F9B" w:rsidRPr="00F34F9B" w:rsidRDefault="00F34F9B" w:rsidP="00F34F9B">
      <w:pPr>
        <w:jc w:val="both"/>
        <w:rPr>
          <w:rFonts w:ascii="Tahoma" w:hAnsi="Tahoma" w:cs="Tahoma"/>
          <w:lang w:val="el-GR"/>
        </w:rPr>
      </w:pPr>
      <w:r w:rsidRPr="00F34F9B">
        <w:rPr>
          <w:rFonts w:ascii="Tahoma" w:hAnsi="Tahoma" w:cs="Tahoma"/>
          <w:lang w:val="el-GR"/>
        </w:rPr>
        <w:t xml:space="preserve">Μια άλλη σημαντική πρόκληση για τις επιχειρήσεις είναι η διαχείριση της τεχνολογικής εξέλιξης. Η ταχεία ανάπτυξη της τεχνολογίας μπορεί να παρέχει νέες ευκαιρίες, αλλά ταυτόχρονα δημιουργεί και νέες προκλήσεις. Οι επιχειρήσεις θα πρέπει να είναι διαρκώς ενημερωμένες και έτοιμες να προσαρμοστούν στις νέες τεχνολογικές τάσεις, όπως η τεχνητή νοημοσύνη, η αυτοματοποίηση, το </w:t>
      </w:r>
      <w:proofErr w:type="spellStart"/>
      <w:r w:rsidRPr="00F34F9B">
        <w:rPr>
          <w:rFonts w:ascii="Tahoma" w:hAnsi="Tahoma" w:cs="Tahoma"/>
          <w:lang w:val="el-GR"/>
        </w:rPr>
        <w:t>blockchain</w:t>
      </w:r>
      <w:proofErr w:type="spellEnd"/>
      <w:r w:rsidRPr="00F34F9B">
        <w:rPr>
          <w:rFonts w:ascii="Tahoma" w:hAnsi="Tahoma" w:cs="Tahoma"/>
          <w:lang w:val="el-GR"/>
        </w:rPr>
        <w:t xml:space="preserve"> κ.α. Οι κανόνες του παιχνιδιού αλλάζουν, απαιτώντας ανανέωση των δεξιοτήτων και αλλαγή στις διαδικασίες λειτουργίας. Με την αύξηση της τεχνολογίας και της ποσότητας των δεδομένων, η προστασία της ασφάλειας τους γίνεται ολοένα </w:t>
      </w:r>
      <w:r w:rsidR="00C40959">
        <w:rPr>
          <w:rFonts w:ascii="Tahoma" w:hAnsi="Tahoma" w:cs="Tahoma"/>
          <w:lang w:val="el-GR"/>
        </w:rPr>
        <w:t xml:space="preserve">και </w:t>
      </w:r>
      <w:r w:rsidRPr="00F34F9B">
        <w:rPr>
          <w:rFonts w:ascii="Tahoma" w:hAnsi="Tahoma" w:cs="Tahoma"/>
          <w:lang w:val="el-GR"/>
        </w:rPr>
        <w:t xml:space="preserve">πιο σημαντική και προκαλεί προβλήματα σε πολλές εταιρείες. Η αύξηση των </w:t>
      </w:r>
      <w:proofErr w:type="spellStart"/>
      <w:r w:rsidRPr="00F34F9B">
        <w:rPr>
          <w:rFonts w:ascii="Tahoma" w:hAnsi="Tahoma" w:cs="Tahoma"/>
          <w:lang w:val="el-GR"/>
        </w:rPr>
        <w:t>κυβερνοεπιθέσεων</w:t>
      </w:r>
      <w:proofErr w:type="spellEnd"/>
      <w:r w:rsidRPr="00F34F9B">
        <w:rPr>
          <w:rFonts w:ascii="Tahoma" w:hAnsi="Tahoma" w:cs="Tahoma"/>
          <w:lang w:val="el-GR"/>
        </w:rPr>
        <w:t xml:space="preserve"> και η ευαισθησία των πληροφοριών καθιστούν τη διαχείριση των δεδομένων σημαντικό παράγοντα επιτυχίας και γι’ αυτό οι εταιρείες θα πρέπει να επενδύσουν σε ασφαλή συστήματα και διαδικασίες για την αποτροπή πιθανών παραβιάσεων της </w:t>
      </w:r>
      <w:proofErr w:type="spellStart"/>
      <w:r w:rsidRPr="00F34F9B">
        <w:rPr>
          <w:rFonts w:ascii="Tahoma" w:hAnsi="Tahoma" w:cs="Tahoma"/>
          <w:lang w:val="el-GR"/>
        </w:rPr>
        <w:t>ιδιωτικότητας</w:t>
      </w:r>
      <w:proofErr w:type="spellEnd"/>
      <w:r w:rsidRPr="00F34F9B">
        <w:rPr>
          <w:rFonts w:ascii="Tahoma" w:hAnsi="Tahoma" w:cs="Tahoma"/>
          <w:lang w:val="el-GR"/>
        </w:rPr>
        <w:t xml:space="preserve"> των πελατών τους αλλά και τη διαρροή σημαντικών πληροφοριών που αφορούν τις ίδιες.</w:t>
      </w:r>
    </w:p>
    <w:p w14:paraId="2BFD43EB" w14:textId="77F571FC" w:rsidR="00F34F9B" w:rsidRPr="00F34F9B" w:rsidRDefault="00F34F9B" w:rsidP="00F34F9B">
      <w:pPr>
        <w:jc w:val="both"/>
        <w:rPr>
          <w:rFonts w:ascii="Tahoma" w:hAnsi="Tahoma" w:cs="Tahoma"/>
          <w:lang w:val="el-GR"/>
        </w:rPr>
      </w:pPr>
      <w:r w:rsidRPr="00F34F9B">
        <w:rPr>
          <w:rFonts w:ascii="Tahoma" w:hAnsi="Tahoma" w:cs="Tahoma"/>
          <w:lang w:val="el-GR"/>
        </w:rPr>
        <w:t xml:space="preserve">Οι νομοθετικές αλλαγές μπορεί να επηρεάσουν τη λειτουργία των επιχειρήσεων. Οι νέοι κανονισμοί σχετικά με την προστασία δεδομένων και την περιβαλλοντική βιωσιμότητα απαιτούν προσαρμογές στις διαδικασίες και στρατηγικές των εταιρειών. Επιπλέον πρόκληση αποτελεί και το γεγονός πως παρατηρούνται αλλαγές σε εργατικές νομοθεσίες σε μεγαλύτερη συχνότητα απ’ ότι στο παρελθόν. Οι νέες αυτές νομοθετικές ρυθμίσεις επιβάλλουν ανελαστικές υποχρεώσεις στις εταιρείες, αφαιρώντας τους τη δυνατότητα να κινούνται με ευελιξία και σύμφωνα με τις ανάγκες της αγοράς </w:t>
      </w:r>
      <w:r w:rsidRPr="00F34F9B">
        <w:rPr>
          <w:rFonts w:ascii="Tahoma" w:hAnsi="Tahoma" w:cs="Tahoma"/>
          <w:lang w:val="el-GR"/>
        </w:rPr>
        <w:lastRenderedPageBreak/>
        <w:t xml:space="preserve">εργασίας. Ενδεικτικά αναφέρεται πως τον τελευταίο χρόνο είχαμε σημαντικές αλλαγές ή/και ψήφιση μεγάλου όγκου νομοθετημάτων καθώς και έκδοση </w:t>
      </w:r>
      <w:r w:rsidR="00C40959">
        <w:rPr>
          <w:rFonts w:ascii="Tahoma" w:hAnsi="Tahoma" w:cs="Tahoma"/>
          <w:lang w:val="el-GR"/>
        </w:rPr>
        <w:t>αριθμού</w:t>
      </w:r>
      <w:r w:rsidRPr="00F34F9B">
        <w:rPr>
          <w:rFonts w:ascii="Tahoma" w:hAnsi="Tahoma" w:cs="Tahoma"/>
          <w:lang w:val="el-GR"/>
        </w:rPr>
        <w:t xml:space="preserve"> Διαταγμάτων εργατικού περιεχομένου.</w:t>
      </w:r>
      <w:r w:rsidR="00C40959">
        <w:rPr>
          <w:rFonts w:ascii="Tahoma" w:hAnsi="Tahoma" w:cs="Tahoma"/>
          <w:lang w:val="el-GR"/>
        </w:rPr>
        <w:t xml:space="preserve"> </w:t>
      </w:r>
      <w:r w:rsidRPr="00F34F9B">
        <w:rPr>
          <w:rFonts w:ascii="Tahoma" w:hAnsi="Tahoma" w:cs="Tahoma"/>
          <w:lang w:val="el-GR"/>
        </w:rPr>
        <w:t>Οι επιχειρήσεις πρέπει να προσαρμόζονται και να συμμορφώνονται με αυτές τις αλλαγές, κάτι που μπορεί να επιφέρει διαφοροποίηση στις διαδικασίες λειτουργίας, στα οικονομικά τους ή ακόμα και στη στρατηγική τους ανάπτυξη.</w:t>
      </w:r>
    </w:p>
    <w:p w14:paraId="2E2351BC" w14:textId="6DB89927" w:rsidR="00F34F9B" w:rsidRPr="00F34F9B" w:rsidRDefault="00F34F9B" w:rsidP="00F34F9B">
      <w:pPr>
        <w:jc w:val="both"/>
        <w:rPr>
          <w:rFonts w:ascii="Tahoma" w:hAnsi="Tahoma" w:cs="Tahoma"/>
          <w:lang w:val="el-GR"/>
        </w:rPr>
      </w:pPr>
      <w:r w:rsidRPr="00F34F9B">
        <w:rPr>
          <w:rFonts w:ascii="Tahoma" w:hAnsi="Tahoma" w:cs="Tahoma"/>
          <w:lang w:val="el-GR"/>
        </w:rPr>
        <w:t xml:space="preserve">Εξίσου σημαντική είναι η αντιμετώπιση των κοινωνικών αλλαγών. Οι αξίες των καταναλωτών εξελίσσονται, με τη ζήτηση για βιώσιμα προϊόντα και υπηρεσίες να αυξάνεται. Οι εταιρείες που ενσωματώνουν την </w:t>
      </w:r>
      <w:proofErr w:type="spellStart"/>
      <w:r w:rsidRPr="00F34F9B">
        <w:rPr>
          <w:rFonts w:ascii="Tahoma" w:hAnsi="Tahoma" w:cs="Tahoma"/>
          <w:lang w:val="el-GR"/>
        </w:rPr>
        <w:t>αειφορία</w:t>
      </w:r>
      <w:proofErr w:type="spellEnd"/>
      <w:r w:rsidRPr="00F34F9B">
        <w:rPr>
          <w:rFonts w:ascii="Tahoma" w:hAnsi="Tahoma" w:cs="Tahoma"/>
          <w:lang w:val="el-GR"/>
        </w:rPr>
        <w:t xml:space="preserve"> και την κοινωνική ευθύνη στις πρακτικές τους έχουν </w:t>
      </w:r>
      <w:r w:rsidR="00C40959">
        <w:rPr>
          <w:rFonts w:ascii="Tahoma" w:hAnsi="Tahoma" w:cs="Tahoma"/>
          <w:lang w:val="el-GR"/>
        </w:rPr>
        <w:t xml:space="preserve">καλύτερες προοπτικές </w:t>
      </w:r>
      <w:r w:rsidRPr="00F34F9B">
        <w:rPr>
          <w:rFonts w:ascii="Tahoma" w:hAnsi="Tahoma" w:cs="Tahoma"/>
          <w:lang w:val="el-GR"/>
        </w:rPr>
        <w:t>να επιτύχουν.</w:t>
      </w:r>
    </w:p>
    <w:p w14:paraId="1C035817" w14:textId="77777777" w:rsidR="00F34F9B" w:rsidRPr="00F34F9B" w:rsidRDefault="00F34F9B" w:rsidP="00F34F9B">
      <w:pPr>
        <w:jc w:val="both"/>
        <w:rPr>
          <w:rFonts w:ascii="Tahoma" w:hAnsi="Tahoma" w:cs="Tahoma"/>
          <w:lang w:val="el-GR"/>
        </w:rPr>
      </w:pPr>
      <w:r w:rsidRPr="00F34F9B">
        <w:rPr>
          <w:rFonts w:ascii="Tahoma" w:hAnsi="Tahoma" w:cs="Tahoma"/>
          <w:lang w:val="el-GR"/>
        </w:rPr>
        <w:t>Τέλος, η παγκόσμια οικονομική και γεωπολιτική αβεβαιότητα αποτελεί διαρκή πρόκληση για τις επιχειρήσεις. Οι αλλαγές στις πολιτικές, οι συγκρούσεις και οι οικονομικές δυσκολίες σε διάφορες περιοχές του κόσμου επηρεάζουν την παγκόσμια αγορά. Οι εταιρείες θα πρέπει να είναι προετοιμασμένες για τις αλλαγές αυτές και να αναπροσαρμόζουν τις στρατηγικές τους ανάλογα.</w:t>
      </w:r>
    </w:p>
    <w:p w14:paraId="47572613" w14:textId="29606C61" w:rsidR="00F34F9B" w:rsidRPr="00F34F9B" w:rsidRDefault="00F34F9B" w:rsidP="00F34F9B">
      <w:pPr>
        <w:jc w:val="both"/>
        <w:rPr>
          <w:rFonts w:ascii="Tahoma" w:hAnsi="Tahoma" w:cs="Tahoma"/>
          <w:lang w:val="el-GR"/>
        </w:rPr>
      </w:pPr>
      <w:r w:rsidRPr="00F34F9B">
        <w:rPr>
          <w:rFonts w:ascii="Tahoma" w:hAnsi="Tahoma" w:cs="Tahoma"/>
          <w:lang w:val="el-GR"/>
        </w:rPr>
        <w:t xml:space="preserve">Η ΟΕΒ προσφέρει </w:t>
      </w:r>
      <w:r w:rsidR="00C40959">
        <w:rPr>
          <w:rFonts w:ascii="Tahoma" w:hAnsi="Tahoma" w:cs="Tahoma"/>
          <w:lang w:val="el-GR"/>
        </w:rPr>
        <w:t xml:space="preserve">σειρά υπηρεσιών </w:t>
      </w:r>
      <w:r w:rsidRPr="00F34F9B">
        <w:rPr>
          <w:rFonts w:ascii="Tahoma" w:hAnsi="Tahoma" w:cs="Tahoma"/>
          <w:lang w:val="el-GR"/>
        </w:rPr>
        <w:t>στις επιχειρήσεις για να αντιμετωπίσουν τις προκλήσεις του 2024, μετατρέποντας τ</w:t>
      </w:r>
      <w:r w:rsidR="00C40959">
        <w:rPr>
          <w:rFonts w:ascii="Tahoma" w:hAnsi="Tahoma" w:cs="Tahoma"/>
          <w:lang w:val="el-GR"/>
        </w:rPr>
        <w:t>ι</w:t>
      </w:r>
      <w:r w:rsidRPr="00F34F9B">
        <w:rPr>
          <w:rFonts w:ascii="Tahoma" w:hAnsi="Tahoma" w:cs="Tahoma"/>
          <w:lang w:val="el-GR"/>
        </w:rPr>
        <w:t>ς σε ευκαιρίες για ανάπτυξη. Μεταξύ άλλων η ΟΕΒ παρέχει στα μέλη της:</w:t>
      </w:r>
    </w:p>
    <w:p w14:paraId="755C77D2" w14:textId="77777777" w:rsidR="00F34F9B" w:rsidRPr="00F34F9B" w:rsidRDefault="00F34F9B" w:rsidP="00F34F9B">
      <w:pPr>
        <w:jc w:val="both"/>
        <w:rPr>
          <w:rFonts w:ascii="Tahoma" w:hAnsi="Tahoma" w:cs="Tahoma"/>
          <w:lang w:val="el-GR"/>
        </w:rPr>
      </w:pPr>
      <w:r w:rsidRPr="00F34F9B">
        <w:rPr>
          <w:rFonts w:ascii="Tahoma" w:hAnsi="Tahoma" w:cs="Tahoma"/>
          <w:b/>
          <w:bCs/>
          <w:lang w:val="el-GR"/>
        </w:rPr>
        <w:t>Συμβουλευτικές υπηρεσίες:</w:t>
      </w:r>
      <w:r w:rsidRPr="00F34F9B">
        <w:rPr>
          <w:rFonts w:ascii="Tahoma" w:hAnsi="Tahoma" w:cs="Tahoma"/>
          <w:lang w:val="el-GR"/>
        </w:rPr>
        <w:t xml:space="preserve"> Παροχή συμβουλών και καθοδήγησης στις επιχειρήσεις για τις βέλτιστες πρακτικές διαχείρισης, διακυβέρνησης και ανάπτυξης.</w:t>
      </w:r>
    </w:p>
    <w:p w14:paraId="776DBA15" w14:textId="29D37DAB" w:rsidR="00F34F9B" w:rsidRPr="00F34F9B" w:rsidRDefault="00F34F9B" w:rsidP="00F34F9B">
      <w:pPr>
        <w:jc w:val="both"/>
        <w:rPr>
          <w:rFonts w:ascii="Tahoma" w:hAnsi="Tahoma" w:cs="Tahoma"/>
          <w:lang w:val="el-GR"/>
        </w:rPr>
      </w:pPr>
      <w:r w:rsidRPr="00F34F9B">
        <w:rPr>
          <w:rFonts w:ascii="Tahoma" w:hAnsi="Tahoma" w:cs="Tahoma"/>
          <w:b/>
          <w:bCs/>
          <w:lang w:val="el-GR"/>
        </w:rPr>
        <w:t>Εκπαίδευση και επαγγελματική ανάπτυξη:</w:t>
      </w:r>
      <w:r w:rsidRPr="00F34F9B">
        <w:rPr>
          <w:rFonts w:ascii="Tahoma" w:hAnsi="Tahoma" w:cs="Tahoma"/>
          <w:lang w:val="el-GR"/>
        </w:rPr>
        <w:t xml:space="preserve"> </w:t>
      </w:r>
      <w:r w:rsidR="00C40959">
        <w:rPr>
          <w:rFonts w:ascii="Tahoma" w:hAnsi="Tahoma" w:cs="Tahoma"/>
          <w:lang w:val="el-GR"/>
        </w:rPr>
        <w:t>Οργάνωση</w:t>
      </w:r>
      <w:r w:rsidRPr="00F34F9B">
        <w:rPr>
          <w:rFonts w:ascii="Tahoma" w:hAnsi="Tahoma" w:cs="Tahoma"/>
          <w:lang w:val="el-GR"/>
        </w:rPr>
        <w:t xml:space="preserve"> σεμιναρίων, εκπαιδευτικών προγραμμάτων και εργαλείων για την ενίσχυση των δεξιοτήτων των εργαζομένων και τη βελτίωση της απόδοσής τους.</w:t>
      </w:r>
    </w:p>
    <w:p w14:paraId="4788AF24" w14:textId="4E67C120" w:rsidR="00F34F9B" w:rsidRPr="00F34F9B" w:rsidRDefault="00F34F9B" w:rsidP="00F34F9B">
      <w:pPr>
        <w:jc w:val="both"/>
        <w:rPr>
          <w:rFonts w:ascii="Tahoma" w:hAnsi="Tahoma" w:cs="Tahoma"/>
          <w:lang w:val="el-GR"/>
        </w:rPr>
      </w:pPr>
      <w:r w:rsidRPr="00F34F9B">
        <w:rPr>
          <w:rFonts w:ascii="Tahoma" w:hAnsi="Tahoma" w:cs="Tahoma"/>
          <w:b/>
          <w:bCs/>
          <w:lang w:val="el-GR"/>
        </w:rPr>
        <w:t>Δικτύωση:</w:t>
      </w:r>
      <w:r w:rsidRPr="00F34F9B">
        <w:rPr>
          <w:rFonts w:ascii="Tahoma" w:hAnsi="Tahoma" w:cs="Tahoma"/>
          <w:lang w:val="el-GR"/>
        </w:rPr>
        <w:t xml:space="preserve"> Δημιουργία ευκαιριών δικτύωσης μεταξύ επιχειρήσεων για την ανταλλαγή ιδεών, εμπειριών και </w:t>
      </w:r>
      <w:r w:rsidR="00C40959">
        <w:rPr>
          <w:rFonts w:ascii="Tahoma" w:hAnsi="Tahoma" w:cs="Tahoma"/>
          <w:lang w:val="el-GR"/>
        </w:rPr>
        <w:t xml:space="preserve">καλών </w:t>
      </w:r>
      <w:r w:rsidRPr="00F34F9B">
        <w:rPr>
          <w:rFonts w:ascii="Tahoma" w:hAnsi="Tahoma" w:cs="Tahoma"/>
          <w:lang w:val="el-GR"/>
        </w:rPr>
        <w:t>πρακτικών.</w:t>
      </w:r>
    </w:p>
    <w:p w14:paraId="61B3C720" w14:textId="77777777" w:rsidR="00F34F9B" w:rsidRPr="00F34F9B" w:rsidRDefault="00F34F9B" w:rsidP="00F34F9B">
      <w:pPr>
        <w:jc w:val="both"/>
        <w:rPr>
          <w:rFonts w:ascii="Tahoma" w:hAnsi="Tahoma" w:cs="Tahoma"/>
          <w:lang w:val="el-GR"/>
        </w:rPr>
      </w:pPr>
      <w:r w:rsidRPr="00F34F9B">
        <w:rPr>
          <w:rFonts w:ascii="Tahoma" w:hAnsi="Tahoma" w:cs="Tahoma"/>
          <w:b/>
          <w:bCs/>
          <w:lang w:val="el-GR"/>
        </w:rPr>
        <w:t>Εκπροσώπηση συμφερόντων:</w:t>
      </w:r>
      <w:r w:rsidRPr="00F34F9B">
        <w:rPr>
          <w:rFonts w:ascii="Tahoma" w:hAnsi="Tahoma" w:cs="Tahoma"/>
          <w:lang w:val="el-GR"/>
        </w:rPr>
        <w:t xml:space="preserve"> Αντιπροσώπευση των επιχειρήσεων σε θέματα πολιτικής και νομοθεσίας που επηρεάζουν το επιχειρηματικό περιβάλλον.</w:t>
      </w:r>
    </w:p>
    <w:p w14:paraId="48EB08AA" w14:textId="77777777" w:rsidR="00F34F9B" w:rsidRPr="00F34F9B" w:rsidRDefault="00F34F9B" w:rsidP="00F34F9B">
      <w:pPr>
        <w:jc w:val="both"/>
        <w:rPr>
          <w:rFonts w:ascii="Tahoma" w:hAnsi="Tahoma" w:cs="Tahoma"/>
          <w:lang w:val="el-GR"/>
        </w:rPr>
      </w:pPr>
      <w:r w:rsidRPr="00F34F9B">
        <w:rPr>
          <w:rFonts w:ascii="Tahoma" w:hAnsi="Tahoma" w:cs="Tahoma"/>
          <w:b/>
          <w:bCs/>
          <w:lang w:val="el-GR"/>
        </w:rPr>
        <w:t>Τεχνολογική υποστήριξη:</w:t>
      </w:r>
      <w:r w:rsidRPr="00F34F9B">
        <w:rPr>
          <w:rFonts w:ascii="Tahoma" w:hAnsi="Tahoma" w:cs="Tahoma"/>
          <w:lang w:val="el-GR"/>
        </w:rPr>
        <w:t xml:space="preserve"> Παροχή πληροφοριών και εκπαίδευσης για τις νέες τεχνολογίες και πώς μπορούν να εφαρμοστούν για τη βελτίωση της απόδοσης και της ανταγωνιστικότητας.</w:t>
      </w:r>
    </w:p>
    <w:p w14:paraId="7BB84D20" w14:textId="77777777" w:rsidR="00F34F9B" w:rsidRPr="00F34F9B" w:rsidRDefault="00F34F9B" w:rsidP="00F34F9B">
      <w:pPr>
        <w:jc w:val="both"/>
        <w:rPr>
          <w:rFonts w:ascii="Tahoma" w:hAnsi="Tahoma" w:cs="Tahoma"/>
          <w:lang w:val="el-GR"/>
        </w:rPr>
      </w:pPr>
      <w:r w:rsidRPr="00F34F9B">
        <w:rPr>
          <w:rFonts w:ascii="Tahoma" w:hAnsi="Tahoma" w:cs="Tahoma"/>
          <w:b/>
          <w:bCs/>
          <w:lang w:val="el-GR"/>
        </w:rPr>
        <w:t>Στήριξη στις εργασιακές σχέσεις:</w:t>
      </w:r>
      <w:r w:rsidRPr="00F34F9B">
        <w:rPr>
          <w:rFonts w:ascii="Tahoma" w:hAnsi="Tahoma" w:cs="Tahoma"/>
          <w:lang w:val="el-GR"/>
        </w:rPr>
        <w:t xml:space="preserve"> Προαγωγή του διαλόγου μεταξύ εργοδοτών και εργαζομένων για τη δημιουργία ενός θετικού κλίματος εργασίας.</w:t>
      </w:r>
    </w:p>
    <w:p w14:paraId="6873CFFD" w14:textId="77777777" w:rsidR="00F34F9B" w:rsidRPr="00F34F9B" w:rsidRDefault="00F34F9B" w:rsidP="00F34F9B">
      <w:pPr>
        <w:spacing w:after="0"/>
        <w:jc w:val="both"/>
        <w:rPr>
          <w:rFonts w:ascii="Tahoma" w:hAnsi="Tahoma" w:cs="Tahoma"/>
          <w:lang w:val="el-GR"/>
        </w:rPr>
      </w:pPr>
    </w:p>
    <w:p w14:paraId="3DFF176B" w14:textId="77777777" w:rsidR="00F34F9B" w:rsidRPr="00F34F9B" w:rsidRDefault="00F34F9B" w:rsidP="00F34F9B">
      <w:pPr>
        <w:spacing w:after="0"/>
        <w:jc w:val="both"/>
        <w:rPr>
          <w:rFonts w:ascii="Tahoma" w:hAnsi="Tahoma" w:cs="Tahoma"/>
          <w:lang w:val="el-GR"/>
        </w:rPr>
      </w:pPr>
      <w:r w:rsidRPr="00F34F9B">
        <w:rPr>
          <w:rFonts w:ascii="Tahoma" w:hAnsi="Tahoma" w:cs="Tahoma"/>
          <w:lang w:val="el-GR"/>
        </w:rPr>
        <w:t>Συνοψίζοντας, το 2024 φέρνει προκλήσεις που απαιτούν αλλαγές στη στρατηγική και τη λειτουργία των επιχειρήσεων. Οι εταιρείες που θα ανταποκριθούν με επιτυχία σε αυτές τις προκλήσεις θα είναι εκείνες που θα προσαρμοστούν γρήγορα στις αλλαγές, θα προσεγγίσουν δημιουργικά τις νέες τάσεις και θα ενισχύσουν την ανταγωνιστικότητά τους διασφαλίζοντας τη βιωσιμότητά τους στο μέλλον.</w:t>
      </w:r>
    </w:p>
    <w:p w14:paraId="7E323D08" w14:textId="77777777" w:rsidR="00F34F9B" w:rsidRPr="00F34F9B" w:rsidRDefault="00F34F9B" w:rsidP="00F34F9B">
      <w:pPr>
        <w:spacing w:after="0"/>
        <w:jc w:val="both"/>
        <w:rPr>
          <w:rFonts w:ascii="Tahoma" w:hAnsi="Tahoma" w:cs="Tahoma"/>
          <w:lang w:val="el-GR"/>
        </w:rPr>
      </w:pPr>
    </w:p>
    <w:p w14:paraId="685C61F3" w14:textId="77777777" w:rsidR="00F34F9B" w:rsidRPr="00AA59FB" w:rsidRDefault="00F34F9B" w:rsidP="00F34F9B">
      <w:pPr>
        <w:spacing w:after="0"/>
        <w:jc w:val="both"/>
        <w:rPr>
          <w:rFonts w:ascii="Tahoma" w:hAnsi="Tahoma" w:cs="Tahoma"/>
          <w:i/>
          <w:iCs/>
          <w:lang w:val="el-GR"/>
        </w:rPr>
      </w:pPr>
    </w:p>
    <w:p w14:paraId="3B26A5D5" w14:textId="77777777" w:rsidR="00F34F9B" w:rsidRPr="00AA59FB" w:rsidRDefault="00F34F9B" w:rsidP="00F34F9B">
      <w:pPr>
        <w:spacing w:after="0"/>
        <w:jc w:val="both"/>
        <w:rPr>
          <w:rFonts w:ascii="Tahoma" w:hAnsi="Tahoma" w:cs="Tahoma"/>
          <w:b/>
          <w:bCs/>
          <w:i/>
          <w:iCs/>
          <w:lang w:val="el-GR"/>
        </w:rPr>
      </w:pPr>
      <w:r w:rsidRPr="00AA59FB">
        <w:rPr>
          <w:rFonts w:ascii="Tahoma" w:hAnsi="Tahoma" w:cs="Tahoma"/>
          <w:b/>
          <w:bCs/>
          <w:i/>
          <w:iCs/>
          <w:lang w:val="el-GR"/>
        </w:rPr>
        <w:t xml:space="preserve">Γιώργος </w:t>
      </w:r>
      <w:proofErr w:type="spellStart"/>
      <w:r w:rsidRPr="00AA59FB">
        <w:rPr>
          <w:rFonts w:ascii="Tahoma" w:hAnsi="Tahoma" w:cs="Tahoma"/>
          <w:b/>
          <w:bCs/>
          <w:i/>
          <w:iCs/>
          <w:lang w:val="el-GR"/>
        </w:rPr>
        <w:t>Χατζηκαλλής</w:t>
      </w:r>
      <w:proofErr w:type="spellEnd"/>
    </w:p>
    <w:p w14:paraId="57BE2DE4" w14:textId="2FBD4187" w:rsidR="00AA59FB" w:rsidRDefault="00F34F9B" w:rsidP="00F34F9B">
      <w:pPr>
        <w:spacing w:after="0"/>
        <w:jc w:val="both"/>
        <w:rPr>
          <w:rFonts w:ascii="Tahoma" w:hAnsi="Tahoma" w:cs="Tahoma"/>
          <w:b/>
          <w:bCs/>
          <w:i/>
          <w:iCs/>
          <w:lang w:val="el-GR"/>
        </w:rPr>
      </w:pPr>
      <w:r w:rsidRPr="00F34F9B">
        <w:rPr>
          <w:rFonts w:ascii="Tahoma" w:hAnsi="Tahoma" w:cs="Tahoma"/>
          <w:b/>
          <w:bCs/>
          <w:i/>
          <w:iCs/>
          <w:lang w:val="el-GR"/>
        </w:rPr>
        <w:t>Ανώτερος Λειτουργός Εργασιακών Σχέσεων και Κοινωνικής Πολιτικής</w:t>
      </w:r>
    </w:p>
    <w:p w14:paraId="0F30C5C6" w14:textId="286C8C81" w:rsidR="00AA59FB" w:rsidRPr="00AA59FB" w:rsidRDefault="00AA59FB" w:rsidP="00F34F9B">
      <w:pPr>
        <w:spacing w:after="0"/>
        <w:jc w:val="both"/>
        <w:rPr>
          <w:rFonts w:ascii="Tahoma" w:hAnsi="Tahoma" w:cs="Tahoma"/>
          <w:b/>
          <w:bCs/>
          <w:i/>
          <w:iCs/>
          <w:lang w:val="el-GR"/>
        </w:rPr>
      </w:pPr>
      <w:r>
        <w:rPr>
          <w:rFonts w:ascii="Tahoma" w:hAnsi="Tahoma" w:cs="Tahoma"/>
          <w:b/>
          <w:bCs/>
          <w:i/>
          <w:iCs/>
          <w:lang w:val="el-GR"/>
        </w:rPr>
        <w:t>Ομοσπονδία Εργοδοτών και Βιομηχάνων (ΟΕΒ)</w:t>
      </w:r>
    </w:p>
    <w:p w14:paraId="328BC1DB" w14:textId="2BA5B18A" w:rsidR="00F34F9B" w:rsidRPr="00AA59FB" w:rsidRDefault="00F34F9B" w:rsidP="00F34F9B">
      <w:pPr>
        <w:spacing w:after="0"/>
        <w:jc w:val="both"/>
        <w:rPr>
          <w:rFonts w:ascii="Tahoma" w:hAnsi="Tahoma" w:cs="Tahoma"/>
          <w:lang w:val="el-GR"/>
        </w:rPr>
      </w:pPr>
    </w:p>
    <w:p w14:paraId="3698B48B" w14:textId="77777777" w:rsidR="00F34F9B" w:rsidRPr="00F34F9B" w:rsidRDefault="00F34F9B" w:rsidP="00F34F9B">
      <w:pPr>
        <w:spacing w:after="0"/>
        <w:jc w:val="both"/>
        <w:rPr>
          <w:rFonts w:ascii="Tahoma" w:hAnsi="Tahoma" w:cs="Tahoma"/>
          <w:lang w:val="el-GR"/>
        </w:rPr>
      </w:pPr>
    </w:p>
    <w:p w14:paraId="1B530500" w14:textId="77777777" w:rsidR="00F34F9B" w:rsidRPr="00F34F9B" w:rsidRDefault="00F34F9B" w:rsidP="00F34F9B">
      <w:pPr>
        <w:spacing w:after="0"/>
        <w:jc w:val="both"/>
        <w:rPr>
          <w:rFonts w:ascii="Tahoma" w:hAnsi="Tahoma" w:cs="Tahoma"/>
          <w:lang w:val="el-GR"/>
        </w:rPr>
      </w:pPr>
    </w:p>
    <w:p w14:paraId="5AF395EF" w14:textId="77777777" w:rsidR="00F34F9B" w:rsidRPr="00F34F9B" w:rsidRDefault="00F34F9B" w:rsidP="00F34F9B">
      <w:pPr>
        <w:spacing w:after="0"/>
        <w:jc w:val="right"/>
        <w:rPr>
          <w:rFonts w:ascii="Tahoma" w:hAnsi="Tahoma" w:cs="Tahoma"/>
          <w:sz w:val="16"/>
          <w:szCs w:val="16"/>
          <w:lang w:val="el-GR"/>
        </w:rPr>
      </w:pPr>
      <w:r w:rsidRPr="00F34F9B">
        <w:rPr>
          <w:rFonts w:ascii="Tahoma" w:hAnsi="Tahoma" w:cs="Tahoma"/>
          <w:sz w:val="16"/>
          <w:szCs w:val="16"/>
        </w:rPr>
        <w:t>GHA</w:t>
      </w:r>
      <w:r w:rsidRPr="00F34F9B">
        <w:rPr>
          <w:rFonts w:ascii="Tahoma" w:hAnsi="Tahoma" w:cs="Tahoma"/>
          <w:sz w:val="16"/>
          <w:szCs w:val="16"/>
          <w:lang w:val="el-GR"/>
        </w:rPr>
        <w:t>231205</w:t>
      </w:r>
      <w:r w:rsidRPr="00F34F9B">
        <w:rPr>
          <w:rFonts w:ascii="Tahoma" w:hAnsi="Tahoma" w:cs="Tahoma"/>
          <w:sz w:val="16"/>
          <w:szCs w:val="16"/>
        </w:rPr>
        <w:t>GEN</w:t>
      </w:r>
    </w:p>
    <w:p w14:paraId="49DFBBEF" w14:textId="77777777" w:rsidR="007B1E4F" w:rsidRPr="00F34F9B" w:rsidRDefault="007B1E4F" w:rsidP="007B1E4F">
      <w:pPr>
        <w:spacing w:line="240" w:lineRule="auto"/>
        <w:jc w:val="center"/>
        <w:rPr>
          <w:rFonts w:ascii="Tahoma" w:hAnsi="Tahoma" w:cs="Tahoma"/>
          <w:b/>
          <w:bCs/>
          <w:u w:val="single"/>
          <w:lang w:val="el-GR"/>
        </w:rPr>
      </w:pPr>
    </w:p>
    <w:sectPr w:rsidR="007B1E4F" w:rsidRPr="00F34F9B" w:rsidSect="001D260A">
      <w:headerReference w:type="default" r:id="rId7"/>
      <w:footerReference w:type="default" r:id="rId8"/>
      <w:headerReference w:type="first" r:id="rId9"/>
      <w:footerReference w:type="first" r:id="rId10"/>
      <w:pgSz w:w="11906" w:h="16838" w:code="9"/>
      <w:pgMar w:top="1440" w:right="851" w:bottom="1440" w:left="1440"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FA45" w14:textId="77777777" w:rsidR="00BB7416" w:rsidRDefault="00BB7416" w:rsidP="00B40D88">
      <w:pPr>
        <w:spacing w:after="0" w:line="240" w:lineRule="auto"/>
      </w:pPr>
      <w:r>
        <w:separator/>
      </w:r>
    </w:p>
  </w:endnote>
  <w:endnote w:type="continuationSeparator" w:id="0">
    <w:p w14:paraId="6091742A" w14:textId="77777777" w:rsidR="00BB7416" w:rsidRDefault="00BB7416" w:rsidP="00B4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81060"/>
      <w:docPartObj>
        <w:docPartGallery w:val="Page Numbers (Bottom of Page)"/>
        <w:docPartUnique/>
      </w:docPartObj>
    </w:sdtPr>
    <w:sdtEndPr>
      <w:rPr>
        <w:noProof/>
      </w:rPr>
    </w:sdtEndPr>
    <w:sdtContent>
      <w:p w14:paraId="3BE3CC12" w14:textId="3880FCFB" w:rsidR="00B40D88" w:rsidRDefault="00B40D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5013A" w14:textId="77777777" w:rsidR="00B40D88" w:rsidRDefault="00B40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338B" w14:textId="5CFBC220" w:rsidR="0015560A" w:rsidRDefault="0015560A">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EB61" w14:textId="77777777" w:rsidR="00BB7416" w:rsidRDefault="00BB7416" w:rsidP="00B40D88">
      <w:pPr>
        <w:spacing w:after="0" w:line="240" w:lineRule="auto"/>
      </w:pPr>
      <w:r>
        <w:separator/>
      </w:r>
    </w:p>
  </w:footnote>
  <w:footnote w:type="continuationSeparator" w:id="0">
    <w:p w14:paraId="5DE2BE01" w14:textId="77777777" w:rsidR="00BB7416" w:rsidRDefault="00BB7416" w:rsidP="00B4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CCFD" w14:textId="3C6986FE" w:rsidR="0036232B" w:rsidRDefault="001D260A">
    <w:pPr>
      <w:pStyle w:val="Header"/>
    </w:pPr>
    <w:r>
      <w:rPr>
        <w:noProof/>
      </w:rPr>
      <w:drawing>
        <wp:anchor distT="0" distB="0" distL="114300" distR="114300" simplePos="0" relativeHeight="251659264" behindDoc="0" locked="0" layoutInCell="1" allowOverlap="1" wp14:anchorId="376C8408" wp14:editId="03C8C7D0">
          <wp:simplePos x="0" y="0"/>
          <wp:positionH relativeFrom="column">
            <wp:posOffset>-668867</wp:posOffset>
          </wp:positionH>
          <wp:positionV relativeFrom="paragraph">
            <wp:posOffset>-297815</wp:posOffset>
          </wp:positionV>
          <wp:extent cx="635000" cy="635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67" cy="639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1F84" w14:textId="61156E7C" w:rsidR="001D260A" w:rsidRDefault="001D260A">
    <w:pPr>
      <w:pStyle w:val="Header"/>
    </w:pPr>
    <w:r>
      <w:rPr>
        <w:noProof/>
      </w:rPr>
      <w:drawing>
        <wp:anchor distT="0" distB="0" distL="114300" distR="114300" simplePos="0" relativeHeight="251661312" behindDoc="0" locked="0" layoutInCell="1" allowOverlap="1" wp14:anchorId="0B6EFAFF" wp14:editId="3F7E188C">
          <wp:simplePos x="0" y="0"/>
          <wp:positionH relativeFrom="column">
            <wp:posOffset>-745067</wp:posOffset>
          </wp:positionH>
          <wp:positionV relativeFrom="paragraph">
            <wp:posOffset>-263101</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C94"/>
    <w:multiLevelType w:val="hybridMultilevel"/>
    <w:tmpl w:val="DE40D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D71ED"/>
    <w:multiLevelType w:val="hybridMultilevel"/>
    <w:tmpl w:val="D8FA77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D16A72"/>
    <w:multiLevelType w:val="hybridMultilevel"/>
    <w:tmpl w:val="E85A769C"/>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 w15:restartNumberingAfterBreak="0">
    <w:nsid w:val="2605393A"/>
    <w:multiLevelType w:val="hybridMultilevel"/>
    <w:tmpl w:val="3D76690C"/>
    <w:lvl w:ilvl="0" w:tplc="9D427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A586E"/>
    <w:multiLevelType w:val="hybridMultilevel"/>
    <w:tmpl w:val="5C36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F3AA4"/>
    <w:multiLevelType w:val="hybridMultilevel"/>
    <w:tmpl w:val="DE2E3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D21C4B"/>
    <w:multiLevelType w:val="hybridMultilevel"/>
    <w:tmpl w:val="F0EAE44A"/>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628378F4"/>
    <w:multiLevelType w:val="hybridMultilevel"/>
    <w:tmpl w:val="2C16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4484F"/>
    <w:multiLevelType w:val="hybridMultilevel"/>
    <w:tmpl w:val="952C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0665A"/>
    <w:multiLevelType w:val="hybridMultilevel"/>
    <w:tmpl w:val="2E8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508609">
    <w:abstractNumId w:val="8"/>
  </w:num>
  <w:num w:numId="2" w16cid:durableId="899822343">
    <w:abstractNumId w:val="7"/>
  </w:num>
  <w:num w:numId="3" w16cid:durableId="1858736950">
    <w:abstractNumId w:val="9"/>
  </w:num>
  <w:num w:numId="4" w16cid:durableId="1970430282">
    <w:abstractNumId w:val="2"/>
  </w:num>
  <w:num w:numId="5" w16cid:durableId="817654261">
    <w:abstractNumId w:val="4"/>
  </w:num>
  <w:num w:numId="6" w16cid:durableId="465854617">
    <w:abstractNumId w:val="5"/>
  </w:num>
  <w:num w:numId="7" w16cid:durableId="736245867">
    <w:abstractNumId w:val="1"/>
  </w:num>
  <w:num w:numId="8" w16cid:durableId="77023223">
    <w:abstractNumId w:val="0"/>
  </w:num>
  <w:num w:numId="9" w16cid:durableId="91704196">
    <w:abstractNumId w:val="6"/>
  </w:num>
  <w:num w:numId="10" w16cid:durableId="13449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22"/>
    <w:rsid w:val="00015267"/>
    <w:rsid w:val="00016AD4"/>
    <w:rsid w:val="00044089"/>
    <w:rsid w:val="000525B2"/>
    <w:rsid w:val="000800ED"/>
    <w:rsid w:val="00090917"/>
    <w:rsid w:val="000C0721"/>
    <w:rsid w:val="000D6925"/>
    <w:rsid w:val="000F2A7D"/>
    <w:rsid w:val="001030A8"/>
    <w:rsid w:val="0012540B"/>
    <w:rsid w:val="0015560A"/>
    <w:rsid w:val="001569D0"/>
    <w:rsid w:val="001C3522"/>
    <w:rsid w:val="001D260A"/>
    <w:rsid w:val="001E4775"/>
    <w:rsid w:val="001E6A2A"/>
    <w:rsid w:val="00223536"/>
    <w:rsid w:val="0024182A"/>
    <w:rsid w:val="00243BC3"/>
    <w:rsid w:val="00284C37"/>
    <w:rsid w:val="002A2D6F"/>
    <w:rsid w:val="002B315A"/>
    <w:rsid w:val="002F2EA9"/>
    <w:rsid w:val="002F6D28"/>
    <w:rsid w:val="0033785F"/>
    <w:rsid w:val="00340231"/>
    <w:rsid w:val="00343D3C"/>
    <w:rsid w:val="003446DD"/>
    <w:rsid w:val="0036232B"/>
    <w:rsid w:val="00371B07"/>
    <w:rsid w:val="003845BB"/>
    <w:rsid w:val="00394005"/>
    <w:rsid w:val="00396A27"/>
    <w:rsid w:val="003A1699"/>
    <w:rsid w:val="003A1D88"/>
    <w:rsid w:val="003C7FA8"/>
    <w:rsid w:val="00405AE6"/>
    <w:rsid w:val="004377CA"/>
    <w:rsid w:val="0044546C"/>
    <w:rsid w:val="00450F24"/>
    <w:rsid w:val="00463E3B"/>
    <w:rsid w:val="00470D77"/>
    <w:rsid w:val="0048655C"/>
    <w:rsid w:val="004A365C"/>
    <w:rsid w:val="004C3377"/>
    <w:rsid w:val="005126DF"/>
    <w:rsid w:val="00572859"/>
    <w:rsid w:val="00592D2C"/>
    <w:rsid w:val="00595012"/>
    <w:rsid w:val="005A0488"/>
    <w:rsid w:val="005A3663"/>
    <w:rsid w:val="005D72B6"/>
    <w:rsid w:val="0063582F"/>
    <w:rsid w:val="00664FF3"/>
    <w:rsid w:val="006A0205"/>
    <w:rsid w:val="006B08F9"/>
    <w:rsid w:val="006D2B97"/>
    <w:rsid w:val="006D7F07"/>
    <w:rsid w:val="007215D3"/>
    <w:rsid w:val="00737B31"/>
    <w:rsid w:val="007426F0"/>
    <w:rsid w:val="00780DFC"/>
    <w:rsid w:val="007A3DBF"/>
    <w:rsid w:val="007B1E4F"/>
    <w:rsid w:val="007B74CF"/>
    <w:rsid w:val="007F1F05"/>
    <w:rsid w:val="0084176C"/>
    <w:rsid w:val="0084620F"/>
    <w:rsid w:val="00862A70"/>
    <w:rsid w:val="008805AD"/>
    <w:rsid w:val="008B7FEE"/>
    <w:rsid w:val="008D3609"/>
    <w:rsid w:val="008D4951"/>
    <w:rsid w:val="008E218D"/>
    <w:rsid w:val="008E6F46"/>
    <w:rsid w:val="008F785D"/>
    <w:rsid w:val="00971BAD"/>
    <w:rsid w:val="00976609"/>
    <w:rsid w:val="009C3098"/>
    <w:rsid w:val="009D3A25"/>
    <w:rsid w:val="009E4765"/>
    <w:rsid w:val="00A108F9"/>
    <w:rsid w:val="00A25D7E"/>
    <w:rsid w:val="00A559FA"/>
    <w:rsid w:val="00A8037D"/>
    <w:rsid w:val="00A8524B"/>
    <w:rsid w:val="00A85736"/>
    <w:rsid w:val="00A943CE"/>
    <w:rsid w:val="00AA59FB"/>
    <w:rsid w:val="00B34521"/>
    <w:rsid w:val="00B40D88"/>
    <w:rsid w:val="00B46CEC"/>
    <w:rsid w:val="00B557EA"/>
    <w:rsid w:val="00B601F9"/>
    <w:rsid w:val="00B710DB"/>
    <w:rsid w:val="00B90122"/>
    <w:rsid w:val="00BA7499"/>
    <w:rsid w:val="00BB00CD"/>
    <w:rsid w:val="00BB7416"/>
    <w:rsid w:val="00BC7B0D"/>
    <w:rsid w:val="00BD2429"/>
    <w:rsid w:val="00BE7143"/>
    <w:rsid w:val="00BF66CB"/>
    <w:rsid w:val="00C00AB3"/>
    <w:rsid w:val="00C131E3"/>
    <w:rsid w:val="00C15563"/>
    <w:rsid w:val="00C30F73"/>
    <w:rsid w:val="00C40959"/>
    <w:rsid w:val="00C41CB3"/>
    <w:rsid w:val="00CC666D"/>
    <w:rsid w:val="00D15B54"/>
    <w:rsid w:val="00D40A5D"/>
    <w:rsid w:val="00D71CE5"/>
    <w:rsid w:val="00DA3B60"/>
    <w:rsid w:val="00DB433A"/>
    <w:rsid w:val="00DD5346"/>
    <w:rsid w:val="00DD53EE"/>
    <w:rsid w:val="00DF54C4"/>
    <w:rsid w:val="00E01869"/>
    <w:rsid w:val="00E0565B"/>
    <w:rsid w:val="00E11D52"/>
    <w:rsid w:val="00E12C04"/>
    <w:rsid w:val="00E256EB"/>
    <w:rsid w:val="00EA298D"/>
    <w:rsid w:val="00EA4382"/>
    <w:rsid w:val="00EA5A1A"/>
    <w:rsid w:val="00EB4439"/>
    <w:rsid w:val="00EB73FB"/>
    <w:rsid w:val="00EC05F7"/>
    <w:rsid w:val="00EE0F6C"/>
    <w:rsid w:val="00EF5C96"/>
    <w:rsid w:val="00F07B59"/>
    <w:rsid w:val="00F14460"/>
    <w:rsid w:val="00F34F9B"/>
    <w:rsid w:val="00F57AF9"/>
    <w:rsid w:val="00F75437"/>
    <w:rsid w:val="00F77F26"/>
    <w:rsid w:val="00F92EE5"/>
    <w:rsid w:val="00F94346"/>
    <w:rsid w:val="00FB0668"/>
    <w:rsid w:val="00FB4938"/>
    <w:rsid w:val="00FD4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8524"/>
  <w15:chartTrackingRefBased/>
  <w15:docId w15:val="{E005B96C-94C0-49CC-8DBB-E351DDD3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94005"/>
    <w:pPr>
      <w:keepNext/>
      <w:autoSpaceDE w:val="0"/>
      <w:autoSpaceDN w:val="0"/>
      <w:adjustRightInd w:val="0"/>
      <w:spacing w:after="0" w:line="240" w:lineRule="auto"/>
      <w:ind w:left="180" w:right="-720"/>
      <w:jc w:val="center"/>
      <w:outlineLvl w:val="1"/>
    </w:pPr>
    <w:rPr>
      <w:rFonts w:ascii="Arial" w:eastAsia="Times New Roman" w:hAnsi="Arial" w:cs="Times New Roman"/>
      <w:i/>
      <w:sz w:val="28"/>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37"/>
    <w:pPr>
      <w:ind w:left="720"/>
      <w:contextualSpacing/>
    </w:pPr>
  </w:style>
  <w:style w:type="paragraph" w:styleId="Header">
    <w:name w:val="header"/>
    <w:basedOn w:val="Normal"/>
    <w:link w:val="HeaderChar"/>
    <w:uiPriority w:val="99"/>
    <w:unhideWhenUsed/>
    <w:rsid w:val="00B4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D88"/>
  </w:style>
  <w:style w:type="paragraph" w:styleId="Footer">
    <w:name w:val="footer"/>
    <w:basedOn w:val="Normal"/>
    <w:link w:val="FooterChar"/>
    <w:uiPriority w:val="99"/>
    <w:unhideWhenUsed/>
    <w:rsid w:val="00B4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D88"/>
  </w:style>
  <w:style w:type="paragraph" w:styleId="Title">
    <w:name w:val="Title"/>
    <w:basedOn w:val="Normal"/>
    <w:link w:val="TitleChar"/>
    <w:uiPriority w:val="99"/>
    <w:qFormat/>
    <w:rsid w:val="00A25D7E"/>
    <w:pPr>
      <w:spacing w:after="0" w:line="240" w:lineRule="auto"/>
      <w:jc w:val="center"/>
    </w:pPr>
    <w:rPr>
      <w:rFonts w:ascii="Arial" w:eastAsia="Times New Roman" w:hAnsi="Arial" w:cs="Times New Roman"/>
      <w:b/>
      <w:sz w:val="24"/>
      <w:szCs w:val="20"/>
      <w:u w:val="single"/>
      <w:lang w:val="el-GR" w:eastAsia="el-GR"/>
    </w:rPr>
  </w:style>
  <w:style w:type="character" w:customStyle="1" w:styleId="TitleChar">
    <w:name w:val="Title Char"/>
    <w:basedOn w:val="DefaultParagraphFont"/>
    <w:link w:val="Title"/>
    <w:uiPriority w:val="99"/>
    <w:rsid w:val="00A25D7E"/>
    <w:rPr>
      <w:rFonts w:ascii="Arial" w:eastAsia="Times New Roman" w:hAnsi="Arial" w:cs="Times New Roman"/>
      <w:b/>
      <w:sz w:val="24"/>
      <w:szCs w:val="20"/>
      <w:u w:val="single"/>
      <w:lang w:val="el-GR" w:eastAsia="el-GR"/>
    </w:rPr>
  </w:style>
  <w:style w:type="paragraph" w:styleId="BodyText">
    <w:name w:val="Body Text"/>
    <w:basedOn w:val="Normal"/>
    <w:link w:val="BodyTextChar"/>
    <w:uiPriority w:val="99"/>
    <w:unhideWhenUsed/>
    <w:rsid w:val="00A25D7E"/>
    <w:pPr>
      <w:spacing w:after="0" w:line="240" w:lineRule="auto"/>
      <w:ind w:right="-604"/>
      <w:jc w:val="both"/>
    </w:pPr>
    <w:rPr>
      <w:rFonts w:ascii="Arial" w:eastAsia="Times New Roman" w:hAnsi="Arial" w:cs="Times New Roman"/>
      <w:sz w:val="24"/>
      <w:szCs w:val="20"/>
      <w:lang w:val="el-GR" w:eastAsia="el-GR"/>
    </w:rPr>
  </w:style>
  <w:style w:type="character" w:customStyle="1" w:styleId="BodyTextChar">
    <w:name w:val="Body Text Char"/>
    <w:basedOn w:val="DefaultParagraphFont"/>
    <w:link w:val="BodyText"/>
    <w:uiPriority w:val="99"/>
    <w:rsid w:val="00A25D7E"/>
    <w:rPr>
      <w:rFonts w:ascii="Arial" w:eastAsia="Times New Roman" w:hAnsi="Arial" w:cs="Times New Roman"/>
      <w:sz w:val="24"/>
      <w:szCs w:val="20"/>
      <w:lang w:val="el-GR" w:eastAsia="el-GR"/>
    </w:rPr>
  </w:style>
  <w:style w:type="paragraph" w:styleId="BodyTextIndent">
    <w:name w:val="Body Text Indent"/>
    <w:basedOn w:val="Normal"/>
    <w:link w:val="BodyTextIndentChar"/>
    <w:uiPriority w:val="99"/>
    <w:unhideWhenUsed/>
    <w:rsid w:val="00394005"/>
    <w:pPr>
      <w:spacing w:after="120"/>
      <w:ind w:left="283"/>
    </w:pPr>
  </w:style>
  <w:style w:type="character" w:customStyle="1" w:styleId="BodyTextIndentChar">
    <w:name w:val="Body Text Indent Char"/>
    <w:basedOn w:val="DefaultParagraphFont"/>
    <w:link w:val="BodyTextIndent"/>
    <w:uiPriority w:val="99"/>
    <w:rsid w:val="00394005"/>
  </w:style>
  <w:style w:type="character" w:customStyle="1" w:styleId="Heading2Char">
    <w:name w:val="Heading 2 Char"/>
    <w:basedOn w:val="DefaultParagraphFont"/>
    <w:link w:val="Heading2"/>
    <w:rsid w:val="00394005"/>
    <w:rPr>
      <w:rFonts w:ascii="Arial" w:eastAsia="Times New Roman" w:hAnsi="Arial" w:cs="Times New Roman"/>
      <w:i/>
      <w:sz w:val="28"/>
      <w:szCs w:val="24"/>
      <w:lang w:val="el-GR" w:eastAsia="el-GR"/>
    </w:rPr>
  </w:style>
  <w:style w:type="paragraph" w:customStyle="1" w:styleId="a">
    <w:name w:val="Βασικό"/>
    <w:rsid w:val="007215D3"/>
    <w:pPr>
      <w:suppressAutoHyphens/>
      <w:autoSpaceDN w:val="0"/>
      <w:spacing w:line="242" w:lineRule="auto"/>
      <w:textAlignment w:val="baseline"/>
    </w:pPr>
    <w:rPr>
      <w:rFonts w:ascii="Calibri" w:eastAsia="Calibri" w:hAnsi="Calibri" w:cs="Times New Roman"/>
    </w:rPr>
  </w:style>
  <w:style w:type="character" w:customStyle="1" w:styleId="a0">
    <w:name w:val="Προεπιλεγμένη γραμματοσειρά"/>
    <w:rsid w:val="007215D3"/>
  </w:style>
  <w:style w:type="table" w:styleId="TableGrid">
    <w:name w:val="Table Grid"/>
    <w:basedOn w:val="TableNormal"/>
    <w:uiPriority w:val="39"/>
    <w:rsid w:val="003A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1E4F"/>
    <w:pPr>
      <w:spacing w:after="0" w:line="276" w:lineRule="auto"/>
    </w:pPr>
    <w:rPr>
      <w:rFonts w:ascii="Microsoft Sans Serif" w:eastAsia="Times New Roman" w:hAnsi="Microsoft Sans Serif" w:cs="Times New Roman"/>
      <w:spacing w:val="1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78984">
      <w:bodyDiv w:val="1"/>
      <w:marLeft w:val="0"/>
      <w:marRight w:val="0"/>
      <w:marTop w:val="0"/>
      <w:marBottom w:val="0"/>
      <w:divBdr>
        <w:top w:val="none" w:sz="0" w:space="0" w:color="auto"/>
        <w:left w:val="none" w:sz="0" w:space="0" w:color="auto"/>
        <w:bottom w:val="none" w:sz="0" w:space="0" w:color="auto"/>
        <w:right w:val="none" w:sz="0" w:space="0" w:color="auto"/>
      </w:divBdr>
    </w:div>
    <w:div w:id="18482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Christiana Akrita</cp:lastModifiedBy>
  <cp:revision>5</cp:revision>
  <cp:lastPrinted>2022-06-06T08:50:00Z</cp:lastPrinted>
  <dcterms:created xsi:type="dcterms:W3CDTF">2023-12-28T10:55:00Z</dcterms:created>
  <dcterms:modified xsi:type="dcterms:W3CDTF">2024-01-03T07:11:00Z</dcterms:modified>
</cp:coreProperties>
</file>