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8"/>
        <w:gridCol w:w="1880"/>
        <w:gridCol w:w="5408"/>
      </w:tblGrid>
      <w:tr w:rsidR="00876861" w14:paraId="63520048" w14:textId="77777777" w:rsidTr="00BC02B7">
        <w:tc>
          <w:tcPr>
            <w:tcW w:w="9026" w:type="dxa"/>
            <w:gridSpan w:val="3"/>
          </w:tcPr>
          <w:p w14:paraId="3DD3BBB0" w14:textId="77777777" w:rsidR="00876861" w:rsidRPr="00876861" w:rsidRDefault="00876861" w:rsidP="00876861">
            <w:pPr>
              <w:spacing w:line="360" w:lineRule="auto"/>
              <w:jc w:val="center"/>
              <w:rPr>
                <w:rFonts w:ascii="Arial" w:hAnsi="Arial" w:cs="Arial"/>
                <w:b/>
                <w:sz w:val="24"/>
                <w:szCs w:val="24"/>
                <w:lang w:val="el-GR"/>
              </w:rPr>
            </w:pPr>
            <w:r w:rsidRPr="00876861">
              <w:rPr>
                <w:rFonts w:ascii="Arial" w:hAnsi="Arial" w:cs="Arial"/>
                <w:b/>
                <w:sz w:val="24"/>
                <w:szCs w:val="24"/>
                <w:lang w:val="el-GR"/>
              </w:rPr>
              <w:t>Οι περί Ασφάλειας και Υγείας στην Εργασία Νόμοι του 1996 έως 2020</w:t>
            </w:r>
          </w:p>
          <w:p w14:paraId="1394515A" w14:textId="77777777" w:rsidR="00876861" w:rsidRPr="00876861" w:rsidRDefault="00876861" w:rsidP="00876861">
            <w:pPr>
              <w:spacing w:line="360" w:lineRule="auto"/>
              <w:jc w:val="center"/>
              <w:rPr>
                <w:rFonts w:ascii="Arial" w:hAnsi="Arial" w:cs="Arial"/>
                <w:b/>
                <w:sz w:val="24"/>
                <w:szCs w:val="24"/>
                <w:lang w:val="el-GR"/>
              </w:rPr>
            </w:pPr>
          </w:p>
          <w:p w14:paraId="3C01A5CA" w14:textId="77777777" w:rsidR="00876861" w:rsidRPr="00876861" w:rsidRDefault="00876861" w:rsidP="00876861">
            <w:pPr>
              <w:spacing w:line="360" w:lineRule="auto"/>
              <w:jc w:val="center"/>
              <w:rPr>
                <w:rFonts w:ascii="Arial" w:hAnsi="Arial" w:cs="Arial"/>
                <w:b/>
                <w:sz w:val="24"/>
                <w:szCs w:val="24"/>
                <w:lang w:val="el-GR"/>
              </w:rPr>
            </w:pPr>
            <w:r w:rsidRPr="00876861">
              <w:rPr>
                <w:rFonts w:ascii="Arial" w:hAnsi="Arial" w:cs="Arial"/>
                <w:b/>
                <w:sz w:val="24"/>
                <w:szCs w:val="24"/>
                <w:lang w:val="el-GR"/>
              </w:rPr>
              <w:t>Κανονισμοί δυνάμει του άρθρου 38</w:t>
            </w:r>
          </w:p>
          <w:p w14:paraId="7868B0C2" w14:textId="07C37C8D" w:rsidR="00876861" w:rsidRPr="00876861" w:rsidRDefault="00876861" w:rsidP="00876861">
            <w:pPr>
              <w:spacing w:line="360" w:lineRule="auto"/>
              <w:jc w:val="both"/>
              <w:rPr>
                <w:rFonts w:ascii="Arial" w:hAnsi="Arial" w:cs="Arial"/>
                <w:sz w:val="24"/>
                <w:szCs w:val="24"/>
                <w:lang w:val="el-GR"/>
              </w:rPr>
            </w:pPr>
          </w:p>
        </w:tc>
      </w:tr>
      <w:tr w:rsidR="004E1DB2" w:rsidRPr="000B7CAF" w14:paraId="3B059C67" w14:textId="77777777" w:rsidTr="00BC02B7">
        <w:tc>
          <w:tcPr>
            <w:tcW w:w="1738" w:type="dxa"/>
          </w:tcPr>
          <w:p w14:paraId="43C5DF3D" w14:textId="77777777" w:rsidR="00BC02B7" w:rsidRDefault="00876861" w:rsidP="00BC02B7">
            <w:pPr>
              <w:rPr>
                <w:rFonts w:ascii="Arial" w:hAnsi="Arial" w:cs="Arial"/>
                <w:sz w:val="20"/>
                <w:szCs w:val="20"/>
                <w:lang w:val="el-GR"/>
              </w:rPr>
            </w:pPr>
            <w:r w:rsidRPr="00876861">
              <w:rPr>
                <w:rFonts w:ascii="Arial" w:hAnsi="Arial" w:cs="Arial"/>
                <w:sz w:val="20"/>
                <w:szCs w:val="20"/>
                <w:lang w:val="el-GR"/>
              </w:rPr>
              <w:t>Προοίμιο.</w:t>
            </w:r>
            <w:r w:rsidR="00BC02B7" w:rsidRPr="00876861">
              <w:rPr>
                <w:rFonts w:ascii="Arial" w:hAnsi="Arial" w:cs="Arial"/>
                <w:sz w:val="20"/>
                <w:szCs w:val="20"/>
                <w:lang w:val="el-GR"/>
              </w:rPr>
              <w:t xml:space="preserve"> </w:t>
            </w:r>
          </w:p>
          <w:p w14:paraId="62A06FF7" w14:textId="77777777" w:rsidR="00BC02B7" w:rsidRDefault="00BC02B7" w:rsidP="00BC02B7">
            <w:pPr>
              <w:rPr>
                <w:rFonts w:ascii="Arial" w:hAnsi="Arial" w:cs="Arial"/>
                <w:sz w:val="20"/>
                <w:szCs w:val="20"/>
                <w:lang w:val="el-GR"/>
              </w:rPr>
            </w:pPr>
          </w:p>
          <w:p w14:paraId="34142E2F" w14:textId="19120041"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89(Ι) του 1996</w:t>
            </w:r>
          </w:p>
          <w:p w14:paraId="053C838A"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158(Ι) του</w:t>
            </w:r>
            <w:r>
              <w:rPr>
                <w:rFonts w:ascii="Arial" w:hAnsi="Arial" w:cs="Arial"/>
                <w:sz w:val="20"/>
                <w:szCs w:val="20"/>
                <w:lang w:val="el-GR"/>
              </w:rPr>
              <w:t xml:space="preserve"> </w:t>
            </w:r>
            <w:r w:rsidRPr="00876861">
              <w:rPr>
                <w:rFonts w:ascii="Arial" w:hAnsi="Arial" w:cs="Arial"/>
                <w:sz w:val="20"/>
                <w:szCs w:val="20"/>
                <w:lang w:val="el-GR"/>
              </w:rPr>
              <w:t>2001</w:t>
            </w:r>
          </w:p>
          <w:p w14:paraId="7D8EFD07"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25(Ι) του 2002</w:t>
            </w:r>
          </w:p>
          <w:p w14:paraId="718DE2B6"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41(Ι) του 2003</w:t>
            </w:r>
          </w:p>
          <w:p w14:paraId="6B3F52FB"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99(Ι) του 2003</w:t>
            </w:r>
          </w:p>
          <w:p w14:paraId="775F528E"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33(Ι) του 2011</w:t>
            </w:r>
          </w:p>
          <w:p w14:paraId="1EEEF6AB"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170(</w:t>
            </w:r>
            <w:r w:rsidRPr="00876861">
              <w:rPr>
                <w:rFonts w:ascii="Arial" w:hAnsi="Arial" w:cs="Arial"/>
                <w:sz w:val="20"/>
                <w:szCs w:val="20"/>
              </w:rPr>
              <w:t>I</w:t>
            </w:r>
            <w:r w:rsidRPr="00876861">
              <w:rPr>
                <w:rFonts w:ascii="Arial" w:hAnsi="Arial" w:cs="Arial"/>
                <w:sz w:val="20"/>
                <w:szCs w:val="20"/>
                <w:lang w:val="el-GR"/>
              </w:rPr>
              <w:t>) του 2015</w:t>
            </w:r>
          </w:p>
          <w:p w14:paraId="5079B2F2" w14:textId="77777777" w:rsidR="00BC02B7" w:rsidRPr="00876861" w:rsidRDefault="00BC02B7" w:rsidP="00BC02B7">
            <w:pPr>
              <w:rPr>
                <w:rFonts w:ascii="Arial" w:hAnsi="Arial" w:cs="Arial"/>
                <w:sz w:val="20"/>
                <w:szCs w:val="20"/>
                <w:lang w:val="el-GR"/>
              </w:rPr>
            </w:pPr>
            <w:r w:rsidRPr="00876861">
              <w:rPr>
                <w:rFonts w:ascii="Arial" w:hAnsi="Arial" w:cs="Arial"/>
                <w:sz w:val="20"/>
                <w:szCs w:val="20"/>
                <w:lang w:val="el-GR"/>
              </w:rPr>
              <w:t>178(</w:t>
            </w:r>
            <w:r w:rsidRPr="00876861">
              <w:rPr>
                <w:rFonts w:ascii="Arial" w:hAnsi="Arial" w:cs="Arial"/>
                <w:sz w:val="20"/>
                <w:szCs w:val="20"/>
              </w:rPr>
              <w:t>I</w:t>
            </w:r>
            <w:r w:rsidRPr="00876861">
              <w:rPr>
                <w:rFonts w:ascii="Arial" w:hAnsi="Arial" w:cs="Arial"/>
                <w:sz w:val="20"/>
                <w:szCs w:val="20"/>
                <w:lang w:val="el-GR"/>
              </w:rPr>
              <w:t>) του 2015</w:t>
            </w:r>
          </w:p>
          <w:p w14:paraId="5BE1A318" w14:textId="67D2C9ED" w:rsidR="00876861" w:rsidRPr="00876861" w:rsidRDefault="00BC02B7" w:rsidP="00BC02B7">
            <w:pPr>
              <w:rPr>
                <w:rFonts w:ascii="Arial" w:hAnsi="Arial" w:cs="Arial"/>
                <w:sz w:val="20"/>
                <w:szCs w:val="20"/>
                <w:lang w:val="el-GR"/>
              </w:rPr>
            </w:pPr>
            <w:r w:rsidRPr="00876861">
              <w:rPr>
                <w:rFonts w:ascii="Arial" w:hAnsi="Arial" w:cs="Arial"/>
                <w:sz w:val="20"/>
                <w:szCs w:val="20"/>
              </w:rPr>
              <w:t>215</w:t>
            </w:r>
            <w:r w:rsidRPr="00876861">
              <w:rPr>
                <w:rFonts w:ascii="Arial" w:hAnsi="Arial" w:cs="Arial"/>
                <w:sz w:val="20"/>
                <w:szCs w:val="20"/>
                <w:lang w:val="el-GR"/>
              </w:rPr>
              <w:t>(</w:t>
            </w:r>
            <w:r w:rsidRPr="00876861">
              <w:rPr>
                <w:rFonts w:ascii="Arial" w:hAnsi="Arial" w:cs="Arial"/>
                <w:sz w:val="20"/>
                <w:szCs w:val="20"/>
              </w:rPr>
              <w:t>I</w:t>
            </w:r>
            <w:r w:rsidRPr="00876861">
              <w:rPr>
                <w:rFonts w:ascii="Arial" w:hAnsi="Arial" w:cs="Arial"/>
                <w:sz w:val="20"/>
                <w:szCs w:val="20"/>
                <w:lang w:val="el-GR"/>
              </w:rPr>
              <w:t>) του 20</w:t>
            </w:r>
            <w:r w:rsidRPr="00876861">
              <w:rPr>
                <w:rFonts w:ascii="Arial" w:hAnsi="Arial" w:cs="Arial"/>
                <w:sz w:val="20"/>
                <w:szCs w:val="20"/>
              </w:rPr>
              <w:t>20</w:t>
            </w:r>
            <w:r w:rsidRPr="00876861">
              <w:rPr>
                <w:rFonts w:ascii="Arial" w:hAnsi="Arial" w:cs="Arial"/>
                <w:sz w:val="20"/>
                <w:szCs w:val="20"/>
                <w:lang w:val="el-GR"/>
              </w:rPr>
              <w:t>.</w:t>
            </w:r>
          </w:p>
        </w:tc>
        <w:tc>
          <w:tcPr>
            <w:tcW w:w="7288" w:type="dxa"/>
            <w:gridSpan w:val="2"/>
          </w:tcPr>
          <w:p w14:paraId="7A3AC0DB" w14:textId="3A8FBEE6" w:rsidR="00876861" w:rsidRPr="00623656" w:rsidRDefault="00876861" w:rsidP="007C5BA3">
            <w:pPr>
              <w:spacing w:line="360" w:lineRule="auto"/>
              <w:jc w:val="both"/>
              <w:rPr>
                <w:rFonts w:ascii="Arial" w:hAnsi="Arial" w:cs="Arial"/>
                <w:sz w:val="24"/>
                <w:szCs w:val="24"/>
                <w:lang w:val="el-GR"/>
              </w:rPr>
            </w:pPr>
            <w:r w:rsidRPr="00623656">
              <w:rPr>
                <w:rFonts w:ascii="Arial" w:hAnsi="Arial" w:cs="Arial"/>
                <w:sz w:val="24"/>
                <w:szCs w:val="24"/>
                <w:lang w:val="el-GR"/>
              </w:rPr>
              <w:t xml:space="preserve">Για σκοπούς </w:t>
            </w:r>
            <w:r w:rsidR="007C5BA3">
              <w:rPr>
                <w:rFonts w:ascii="Arial" w:hAnsi="Arial" w:cs="Arial"/>
                <w:sz w:val="24"/>
                <w:szCs w:val="24"/>
                <w:lang w:val="el-GR"/>
              </w:rPr>
              <w:t>προώθησης πρόσθετων μ</w:t>
            </w:r>
            <w:r w:rsidR="00BC02B7">
              <w:rPr>
                <w:rFonts w:ascii="Arial" w:hAnsi="Arial" w:cs="Arial"/>
                <w:sz w:val="24"/>
                <w:szCs w:val="24"/>
                <w:lang w:val="el-GR"/>
              </w:rPr>
              <w:t xml:space="preserve">έτρων </w:t>
            </w:r>
            <w:r w:rsidR="00BC02B7" w:rsidRPr="00094E40">
              <w:rPr>
                <w:rFonts w:ascii="Arial" w:hAnsi="Arial" w:cs="Arial"/>
                <w:sz w:val="24"/>
                <w:szCs w:val="24"/>
                <w:lang w:val="el-GR"/>
              </w:rPr>
              <w:t>για την αντιμετώπιση των κινδύνων μεγάλων ατυχημάτων σχετιζόμενων με επικίνδυνες ουσίες</w:t>
            </w:r>
            <w:r w:rsidR="00BC02B7">
              <w:rPr>
                <w:rFonts w:ascii="Arial" w:hAnsi="Arial" w:cs="Arial"/>
                <w:sz w:val="24"/>
                <w:szCs w:val="24"/>
                <w:lang w:val="el-GR"/>
              </w:rPr>
              <w:t xml:space="preserve"> τ</w:t>
            </w:r>
            <w:r w:rsidR="00BC02B7" w:rsidRPr="00876861">
              <w:rPr>
                <w:rFonts w:ascii="Arial" w:hAnsi="Arial" w:cs="Arial"/>
                <w:sz w:val="24"/>
                <w:szCs w:val="24"/>
                <w:lang w:val="el-GR"/>
              </w:rPr>
              <w:t xml:space="preserve">ο Υπουργικό Συμβούλιο, ασκώντας τις εξουσίες που του χορηγούνται δυνάμει του άρθρου 38 των περί Ασφάλειας και Υγείας στην Εργασία Νόμων του 1996 έως 2020, εκδίδει τους ακόλουθους </w:t>
            </w:r>
            <w:r w:rsidR="00BC02B7">
              <w:rPr>
                <w:rFonts w:ascii="Arial" w:hAnsi="Arial" w:cs="Arial"/>
                <w:sz w:val="24"/>
                <w:szCs w:val="24"/>
                <w:lang w:val="el-GR"/>
              </w:rPr>
              <w:t xml:space="preserve">τροποποιητικούς </w:t>
            </w:r>
            <w:r w:rsidR="00BC02B7" w:rsidRPr="00876861">
              <w:rPr>
                <w:rFonts w:ascii="Arial" w:hAnsi="Arial" w:cs="Arial"/>
                <w:sz w:val="24"/>
                <w:szCs w:val="24"/>
                <w:lang w:val="el-GR"/>
              </w:rPr>
              <w:t>Κανονισμούς:</w:t>
            </w:r>
          </w:p>
        </w:tc>
      </w:tr>
      <w:tr w:rsidR="004E1DB2" w:rsidRPr="000B7CAF" w14:paraId="2C4B91FF" w14:textId="77777777" w:rsidTr="00BC02B7">
        <w:tc>
          <w:tcPr>
            <w:tcW w:w="1738" w:type="dxa"/>
          </w:tcPr>
          <w:p w14:paraId="2E67582A" w14:textId="0EE9A2B8" w:rsidR="00876861" w:rsidRPr="002C5CC1" w:rsidRDefault="00876861" w:rsidP="00876861">
            <w:pPr>
              <w:rPr>
                <w:rFonts w:ascii="Arial" w:hAnsi="Arial" w:cs="Arial"/>
                <w:sz w:val="20"/>
                <w:szCs w:val="20"/>
                <w:lang w:val="el-GR"/>
              </w:rPr>
            </w:pPr>
          </w:p>
        </w:tc>
        <w:tc>
          <w:tcPr>
            <w:tcW w:w="7288" w:type="dxa"/>
            <w:gridSpan w:val="2"/>
          </w:tcPr>
          <w:p w14:paraId="4DAE2198" w14:textId="3D177CB5" w:rsidR="00876861" w:rsidRPr="00094E40" w:rsidRDefault="00876861" w:rsidP="00876861">
            <w:pPr>
              <w:spacing w:line="360" w:lineRule="auto"/>
              <w:jc w:val="both"/>
              <w:rPr>
                <w:rFonts w:ascii="Arial" w:hAnsi="Arial" w:cs="Arial"/>
                <w:sz w:val="24"/>
                <w:szCs w:val="24"/>
                <w:lang w:val="el-GR"/>
              </w:rPr>
            </w:pPr>
          </w:p>
        </w:tc>
      </w:tr>
      <w:tr w:rsidR="004E1DB2" w:rsidRPr="000B7CAF" w14:paraId="195FCED8" w14:textId="77777777" w:rsidTr="00BC02B7">
        <w:tc>
          <w:tcPr>
            <w:tcW w:w="1738" w:type="dxa"/>
          </w:tcPr>
          <w:p w14:paraId="4AB9F18D" w14:textId="77777777" w:rsidR="00876861" w:rsidRPr="00876861" w:rsidRDefault="00876861" w:rsidP="00876861">
            <w:pPr>
              <w:rPr>
                <w:rFonts w:ascii="Arial" w:hAnsi="Arial" w:cs="Arial"/>
                <w:sz w:val="20"/>
                <w:szCs w:val="20"/>
                <w:lang w:val="el-GR"/>
              </w:rPr>
            </w:pPr>
            <w:r w:rsidRPr="00876861">
              <w:rPr>
                <w:rFonts w:ascii="Arial" w:hAnsi="Arial" w:cs="Arial"/>
                <w:sz w:val="20"/>
                <w:szCs w:val="20"/>
                <w:lang w:val="el-GR"/>
              </w:rPr>
              <w:t>Συνοπτικός τίτλος.</w:t>
            </w:r>
          </w:p>
          <w:p w14:paraId="56C103FE" w14:textId="77777777" w:rsidR="00876861" w:rsidRPr="00094E40" w:rsidRDefault="00876861" w:rsidP="00876861">
            <w:pPr>
              <w:rPr>
                <w:rFonts w:ascii="Arial" w:hAnsi="Arial" w:cs="Arial"/>
                <w:sz w:val="20"/>
                <w:szCs w:val="20"/>
                <w:lang w:val="el-GR"/>
              </w:rPr>
            </w:pPr>
          </w:p>
          <w:p w14:paraId="65E8FD60" w14:textId="77777777" w:rsidR="00876861" w:rsidRPr="00094E40" w:rsidRDefault="00876861" w:rsidP="00876861">
            <w:pPr>
              <w:rPr>
                <w:rFonts w:ascii="Arial" w:hAnsi="Arial" w:cs="Arial"/>
                <w:sz w:val="20"/>
                <w:szCs w:val="20"/>
                <w:lang w:val="el-GR"/>
              </w:rPr>
            </w:pPr>
          </w:p>
          <w:p w14:paraId="278AB0CC" w14:textId="77777777" w:rsidR="00876861" w:rsidRPr="00094E40" w:rsidRDefault="00876861" w:rsidP="00876861">
            <w:pPr>
              <w:rPr>
                <w:rFonts w:ascii="Arial" w:hAnsi="Arial" w:cs="Arial"/>
                <w:sz w:val="20"/>
                <w:szCs w:val="20"/>
                <w:lang w:val="el-GR"/>
              </w:rPr>
            </w:pPr>
          </w:p>
          <w:p w14:paraId="2A1DBCED" w14:textId="77777777" w:rsidR="00876861" w:rsidRPr="00094E40" w:rsidRDefault="00876861" w:rsidP="00876861">
            <w:pPr>
              <w:rPr>
                <w:rFonts w:ascii="Arial" w:hAnsi="Arial" w:cs="Arial"/>
                <w:sz w:val="20"/>
                <w:szCs w:val="20"/>
                <w:lang w:val="el-GR"/>
              </w:rPr>
            </w:pPr>
          </w:p>
          <w:p w14:paraId="122678AF" w14:textId="77777777" w:rsidR="00876861" w:rsidRPr="00876861" w:rsidRDefault="00876861" w:rsidP="00876861">
            <w:pPr>
              <w:rPr>
                <w:rFonts w:ascii="Arial" w:hAnsi="Arial" w:cs="Arial"/>
                <w:sz w:val="20"/>
                <w:szCs w:val="20"/>
                <w:lang w:val="el-GR"/>
              </w:rPr>
            </w:pPr>
            <w:r w:rsidRPr="00876861">
              <w:rPr>
                <w:rFonts w:ascii="Arial" w:hAnsi="Arial" w:cs="Arial"/>
                <w:sz w:val="20"/>
                <w:szCs w:val="20"/>
                <w:lang w:val="el-GR"/>
              </w:rPr>
              <w:t xml:space="preserve">Επίσημη </w:t>
            </w:r>
          </w:p>
          <w:p w14:paraId="68F084E6" w14:textId="77777777" w:rsidR="00876861" w:rsidRPr="00876861" w:rsidRDefault="00876861" w:rsidP="00876861">
            <w:pPr>
              <w:rPr>
                <w:rFonts w:ascii="Arial" w:hAnsi="Arial" w:cs="Arial"/>
                <w:sz w:val="20"/>
                <w:szCs w:val="20"/>
                <w:lang w:val="el-GR"/>
              </w:rPr>
            </w:pPr>
            <w:r w:rsidRPr="00876861">
              <w:rPr>
                <w:rFonts w:ascii="Arial" w:hAnsi="Arial" w:cs="Arial"/>
                <w:sz w:val="20"/>
                <w:szCs w:val="20"/>
                <w:lang w:val="el-GR"/>
              </w:rPr>
              <w:t>Εφημερίδα, Παράρτημα Τρίτο (Ι): 23.10.2015.</w:t>
            </w:r>
          </w:p>
          <w:p w14:paraId="3CE0EF89" w14:textId="0EAD5189" w:rsidR="00876861" w:rsidRPr="00876861" w:rsidRDefault="00876861" w:rsidP="00876861">
            <w:pPr>
              <w:rPr>
                <w:rFonts w:ascii="Arial" w:hAnsi="Arial" w:cs="Arial"/>
                <w:sz w:val="20"/>
                <w:szCs w:val="20"/>
                <w:lang w:val="el-GR"/>
              </w:rPr>
            </w:pPr>
          </w:p>
        </w:tc>
        <w:tc>
          <w:tcPr>
            <w:tcW w:w="7288" w:type="dxa"/>
            <w:gridSpan w:val="2"/>
          </w:tcPr>
          <w:p w14:paraId="1C5238F5" w14:textId="0A5F55AD" w:rsidR="00876861" w:rsidRPr="00094E40" w:rsidRDefault="00876861" w:rsidP="00876861">
            <w:pPr>
              <w:spacing w:line="360" w:lineRule="auto"/>
              <w:jc w:val="both"/>
              <w:rPr>
                <w:rFonts w:ascii="Arial" w:hAnsi="Arial" w:cs="Arial"/>
                <w:sz w:val="24"/>
                <w:szCs w:val="24"/>
                <w:lang w:val="el-GR"/>
              </w:rPr>
            </w:pPr>
            <w:r w:rsidRPr="00876861">
              <w:rPr>
                <w:rFonts w:ascii="Arial" w:hAnsi="Arial" w:cs="Arial"/>
                <w:sz w:val="24"/>
                <w:szCs w:val="24"/>
                <w:lang w:val="el-GR"/>
              </w:rPr>
              <w:t xml:space="preserve">1. Οι παρόντες Κανονισμοί θα αναφέρονται ως οι περί Ασφάλειας και Υγείας στην Εργασία (Αντιμετώπιση Κινδύνων Ατυχημάτων Μεγάλης Κλίμακας </w:t>
            </w:r>
            <w:proofErr w:type="spellStart"/>
            <w:r w:rsidRPr="00876861">
              <w:rPr>
                <w:rFonts w:ascii="Arial" w:hAnsi="Arial" w:cs="Arial"/>
                <w:sz w:val="24"/>
                <w:szCs w:val="24"/>
                <w:lang w:val="el-GR"/>
              </w:rPr>
              <w:t>Σχετιζομένων</w:t>
            </w:r>
            <w:proofErr w:type="spellEnd"/>
            <w:r w:rsidRPr="00876861">
              <w:rPr>
                <w:rFonts w:ascii="Arial" w:hAnsi="Arial" w:cs="Arial"/>
                <w:sz w:val="24"/>
                <w:szCs w:val="24"/>
                <w:lang w:val="el-GR"/>
              </w:rPr>
              <w:t xml:space="preserve"> με Επικίνδυνες Ουσίες) (Τρο</w:t>
            </w:r>
            <w:r w:rsidR="00184F6B">
              <w:rPr>
                <w:rFonts w:ascii="Arial" w:hAnsi="Arial" w:cs="Arial"/>
                <w:sz w:val="24"/>
                <w:szCs w:val="24"/>
                <w:lang w:val="el-GR"/>
              </w:rPr>
              <w:t>ποποιητικοί) Κανονισμοί του 202</w:t>
            </w:r>
            <w:r w:rsidR="00184F6B">
              <w:rPr>
                <w:rFonts w:ascii="Arial" w:hAnsi="Arial" w:cs="Arial"/>
                <w:sz w:val="24"/>
                <w:szCs w:val="24"/>
              </w:rPr>
              <w:t>X</w:t>
            </w:r>
            <w:r w:rsidRPr="00876861">
              <w:rPr>
                <w:rFonts w:ascii="Arial" w:hAnsi="Arial" w:cs="Arial"/>
                <w:sz w:val="24"/>
                <w:szCs w:val="24"/>
                <w:lang w:val="el-GR"/>
              </w:rPr>
              <w:t xml:space="preserve"> και θα διαβάζονται μαζί με τους περί Ασφάλειας και Υγείας στην Εργασία (Αντιμετώπιση Κινδύνων Ατυχημάτων Μεγάλης Κλίμακας </w:t>
            </w:r>
            <w:proofErr w:type="spellStart"/>
            <w:r w:rsidRPr="00876861">
              <w:rPr>
                <w:rFonts w:ascii="Arial" w:hAnsi="Arial" w:cs="Arial"/>
                <w:sz w:val="24"/>
                <w:szCs w:val="24"/>
                <w:lang w:val="el-GR"/>
              </w:rPr>
              <w:t>Σχετιζομένων</w:t>
            </w:r>
            <w:proofErr w:type="spellEnd"/>
            <w:r w:rsidRPr="00876861">
              <w:rPr>
                <w:rFonts w:ascii="Arial" w:hAnsi="Arial" w:cs="Arial"/>
                <w:sz w:val="24"/>
                <w:szCs w:val="24"/>
                <w:lang w:val="el-GR"/>
              </w:rPr>
              <w:t xml:space="preserve"> με Επικίνδυνες Ουσίες) Κανονισμούς του 2015 (που στο εξής θα αναφέρονται ως «οι βασικοί κανονισμοί») και οι βασικοί κανονισμοί και οι παρόντες Κανονισμοί θα αναφέρονται μαζί ως οι περί Ασφάλειας και Υγείας στην Εργασία (Αντιμετώπιση Κινδύνων Ατυχημάτων Μεγάλης Κλίμακας </w:t>
            </w:r>
            <w:proofErr w:type="spellStart"/>
            <w:r w:rsidRPr="00876861">
              <w:rPr>
                <w:rFonts w:ascii="Arial" w:hAnsi="Arial" w:cs="Arial"/>
                <w:sz w:val="24"/>
                <w:szCs w:val="24"/>
                <w:lang w:val="el-GR"/>
              </w:rPr>
              <w:t>Σχετιζομένων</w:t>
            </w:r>
            <w:proofErr w:type="spellEnd"/>
            <w:r w:rsidRPr="00876861">
              <w:rPr>
                <w:rFonts w:ascii="Arial" w:hAnsi="Arial" w:cs="Arial"/>
                <w:sz w:val="24"/>
                <w:szCs w:val="24"/>
                <w:lang w:val="el-GR"/>
              </w:rPr>
              <w:t xml:space="preserve"> με Επικίνδυνες Ουσί</w:t>
            </w:r>
            <w:r w:rsidR="00184F6B">
              <w:rPr>
                <w:rFonts w:ascii="Arial" w:hAnsi="Arial" w:cs="Arial"/>
                <w:sz w:val="24"/>
                <w:szCs w:val="24"/>
                <w:lang w:val="el-GR"/>
              </w:rPr>
              <w:t>ες) Κανονισμοί του 2015 και 202</w:t>
            </w:r>
            <w:r w:rsidR="00184F6B">
              <w:rPr>
                <w:rFonts w:ascii="Arial" w:hAnsi="Arial" w:cs="Arial"/>
                <w:sz w:val="24"/>
                <w:szCs w:val="24"/>
              </w:rPr>
              <w:t>X</w:t>
            </w:r>
            <w:r w:rsidRPr="00876861">
              <w:rPr>
                <w:rFonts w:ascii="Arial" w:hAnsi="Arial" w:cs="Arial"/>
                <w:sz w:val="24"/>
                <w:szCs w:val="24"/>
                <w:lang w:val="el-GR"/>
              </w:rPr>
              <w:t>.</w:t>
            </w:r>
          </w:p>
        </w:tc>
      </w:tr>
      <w:tr w:rsidR="004E1DB2" w:rsidRPr="000B7CAF" w14:paraId="1BB9C711" w14:textId="77777777" w:rsidTr="00BC02B7">
        <w:tc>
          <w:tcPr>
            <w:tcW w:w="1738" w:type="dxa"/>
          </w:tcPr>
          <w:p w14:paraId="42941FB3" w14:textId="77777777" w:rsidR="00CE14E1" w:rsidRDefault="00CE14E1" w:rsidP="00876861">
            <w:pPr>
              <w:rPr>
                <w:rFonts w:ascii="Arial" w:hAnsi="Arial" w:cs="Arial"/>
                <w:sz w:val="20"/>
                <w:szCs w:val="20"/>
                <w:lang w:val="el-GR"/>
              </w:rPr>
            </w:pPr>
          </w:p>
        </w:tc>
        <w:tc>
          <w:tcPr>
            <w:tcW w:w="7288" w:type="dxa"/>
            <w:gridSpan w:val="2"/>
          </w:tcPr>
          <w:p w14:paraId="4790DEA2" w14:textId="77777777" w:rsidR="00CE14E1" w:rsidRPr="00CE14E1" w:rsidRDefault="00CE14E1" w:rsidP="00CE14E1">
            <w:pPr>
              <w:spacing w:line="360" w:lineRule="auto"/>
              <w:jc w:val="both"/>
              <w:rPr>
                <w:rFonts w:ascii="Arial" w:hAnsi="Arial" w:cs="Arial"/>
                <w:sz w:val="24"/>
                <w:szCs w:val="24"/>
                <w:lang w:val="el-GR"/>
              </w:rPr>
            </w:pPr>
          </w:p>
        </w:tc>
      </w:tr>
      <w:tr w:rsidR="004E1DB2" w:rsidRPr="000B7CAF" w14:paraId="69877982" w14:textId="77777777" w:rsidTr="00BC02B7">
        <w:tc>
          <w:tcPr>
            <w:tcW w:w="1738" w:type="dxa"/>
          </w:tcPr>
          <w:p w14:paraId="7DABE27A" w14:textId="33CDBAD2" w:rsidR="007C02AB" w:rsidRPr="00BC02B7" w:rsidRDefault="00184F6B" w:rsidP="00236CBE">
            <w:pPr>
              <w:rPr>
                <w:rFonts w:ascii="Arial" w:hAnsi="Arial" w:cs="Arial"/>
                <w:sz w:val="20"/>
                <w:szCs w:val="20"/>
                <w:lang w:val="el-GR"/>
              </w:rPr>
            </w:pPr>
            <w:r w:rsidRPr="00BC02B7">
              <w:rPr>
                <w:rFonts w:ascii="Arial" w:hAnsi="Arial" w:cs="Arial"/>
                <w:sz w:val="20"/>
                <w:szCs w:val="20"/>
                <w:lang w:val="el-GR"/>
              </w:rPr>
              <w:t xml:space="preserve">Προσθήκη νέου κανονισμού </w:t>
            </w:r>
            <w:r w:rsidR="00236CBE" w:rsidRPr="00BC02B7">
              <w:rPr>
                <w:rFonts w:ascii="Arial" w:hAnsi="Arial" w:cs="Arial"/>
                <w:sz w:val="20"/>
                <w:szCs w:val="20"/>
                <w:lang w:val="el-GR"/>
              </w:rPr>
              <w:t>11Α.</w:t>
            </w:r>
          </w:p>
        </w:tc>
        <w:tc>
          <w:tcPr>
            <w:tcW w:w="7288" w:type="dxa"/>
            <w:gridSpan w:val="2"/>
          </w:tcPr>
          <w:p w14:paraId="47282104" w14:textId="16541E93" w:rsidR="007C02AB" w:rsidRPr="00BC02B7" w:rsidRDefault="00BC02B7" w:rsidP="00236CBE">
            <w:pPr>
              <w:spacing w:line="360" w:lineRule="auto"/>
              <w:jc w:val="both"/>
              <w:rPr>
                <w:rFonts w:ascii="Arial" w:hAnsi="Arial" w:cs="Arial"/>
                <w:sz w:val="24"/>
                <w:szCs w:val="24"/>
                <w:lang w:val="el-GR"/>
              </w:rPr>
            </w:pPr>
            <w:r w:rsidRPr="00BC02B7">
              <w:rPr>
                <w:rFonts w:ascii="Arial" w:hAnsi="Arial" w:cs="Arial"/>
                <w:sz w:val="24"/>
                <w:szCs w:val="24"/>
                <w:lang w:val="el-GR"/>
              </w:rPr>
              <w:t>2</w:t>
            </w:r>
            <w:r w:rsidR="00184F6B" w:rsidRPr="00BC02B7">
              <w:rPr>
                <w:rFonts w:ascii="Arial" w:hAnsi="Arial" w:cs="Arial"/>
                <w:sz w:val="24"/>
                <w:szCs w:val="24"/>
                <w:lang w:val="el-GR"/>
              </w:rPr>
              <w:t xml:space="preserve">.  Οι βασικοί </w:t>
            </w:r>
            <w:r w:rsidR="00236CBE" w:rsidRPr="00BC02B7">
              <w:rPr>
                <w:rFonts w:ascii="Arial" w:hAnsi="Arial" w:cs="Arial"/>
                <w:sz w:val="24"/>
                <w:szCs w:val="24"/>
                <w:lang w:val="el-GR"/>
              </w:rPr>
              <w:t>κ</w:t>
            </w:r>
            <w:r w:rsidR="00184F6B" w:rsidRPr="00BC02B7">
              <w:rPr>
                <w:rFonts w:ascii="Arial" w:hAnsi="Arial" w:cs="Arial"/>
                <w:sz w:val="24"/>
                <w:szCs w:val="24"/>
                <w:lang w:val="el-GR"/>
              </w:rPr>
              <w:t xml:space="preserve">ανονισμοί τροποποιούνται με την προσθήκη, αμέσως μετά το τέλος του Κανονισμού </w:t>
            </w:r>
            <w:r w:rsidR="00236CBE" w:rsidRPr="00BC02B7">
              <w:rPr>
                <w:rFonts w:ascii="Arial" w:hAnsi="Arial" w:cs="Arial"/>
                <w:sz w:val="24"/>
                <w:szCs w:val="24"/>
                <w:lang w:val="el-GR"/>
              </w:rPr>
              <w:t xml:space="preserve">11 </w:t>
            </w:r>
            <w:r w:rsidR="00184F6B" w:rsidRPr="00BC02B7">
              <w:rPr>
                <w:rFonts w:ascii="Arial" w:hAnsi="Arial" w:cs="Arial"/>
                <w:sz w:val="24"/>
                <w:szCs w:val="24"/>
                <w:lang w:val="el-GR"/>
              </w:rPr>
              <w:t xml:space="preserve">του ακόλουθου νέου </w:t>
            </w:r>
            <w:r w:rsidR="00236CBE" w:rsidRPr="000B7CAF">
              <w:rPr>
                <w:rFonts w:ascii="Arial" w:hAnsi="Arial" w:cs="Arial"/>
                <w:sz w:val="24"/>
                <w:szCs w:val="24"/>
                <w:highlight w:val="yellow"/>
                <w:lang w:val="el-GR"/>
              </w:rPr>
              <w:t>Κανονισμού 11Α.</w:t>
            </w:r>
          </w:p>
        </w:tc>
      </w:tr>
      <w:tr w:rsidR="004E1DB2" w:rsidRPr="000B7CAF" w14:paraId="06BB9E1B" w14:textId="77777777" w:rsidTr="00BC02B7">
        <w:tc>
          <w:tcPr>
            <w:tcW w:w="1738" w:type="dxa"/>
          </w:tcPr>
          <w:p w14:paraId="2C3CA351" w14:textId="77777777" w:rsidR="00236CBE" w:rsidRPr="00BC02B7" w:rsidRDefault="00236CBE" w:rsidP="00876861">
            <w:pPr>
              <w:rPr>
                <w:rFonts w:ascii="Arial" w:hAnsi="Arial" w:cs="Arial"/>
                <w:sz w:val="20"/>
                <w:szCs w:val="20"/>
                <w:lang w:val="el-GR"/>
              </w:rPr>
            </w:pPr>
          </w:p>
        </w:tc>
        <w:tc>
          <w:tcPr>
            <w:tcW w:w="7288" w:type="dxa"/>
            <w:gridSpan w:val="2"/>
          </w:tcPr>
          <w:p w14:paraId="43394291" w14:textId="77777777" w:rsidR="00236CBE" w:rsidRPr="00BC02B7" w:rsidRDefault="00236CBE" w:rsidP="00876861">
            <w:pPr>
              <w:spacing w:line="360" w:lineRule="auto"/>
              <w:jc w:val="both"/>
              <w:rPr>
                <w:rFonts w:ascii="Arial" w:hAnsi="Arial" w:cs="Arial"/>
                <w:sz w:val="24"/>
                <w:szCs w:val="24"/>
                <w:lang w:val="el-GR"/>
              </w:rPr>
            </w:pPr>
          </w:p>
        </w:tc>
      </w:tr>
      <w:tr w:rsidR="009D4C16" w:rsidRPr="000B7CAF" w14:paraId="7E2D379B" w14:textId="77777777" w:rsidTr="00BC02B7">
        <w:tc>
          <w:tcPr>
            <w:tcW w:w="1738" w:type="dxa"/>
          </w:tcPr>
          <w:p w14:paraId="098140C7" w14:textId="77777777" w:rsidR="00236CBE" w:rsidRPr="00BC02B7" w:rsidRDefault="00236CBE" w:rsidP="00876861">
            <w:pPr>
              <w:rPr>
                <w:rFonts w:ascii="Arial" w:hAnsi="Arial" w:cs="Arial"/>
                <w:sz w:val="20"/>
                <w:szCs w:val="20"/>
                <w:lang w:val="el-GR"/>
              </w:rPr>
            </w:pPr>
          </w:p>
        </w:tc>
        <w:tc>
          <w:tcPr>
            <w:tcW w:w="1880" w:type="dxa"/>
          </w:tcPr>
          <w:p w14:paraId="6A3C5DCD" w14:textId="77777777" w:rsidR="00236CBE" w:rsidRPr="000B7CAF" w:rsidRDefault="00236CBE" w:rsidP="00876861">
            <w:pPr>
              <w:spacing w:line="360" w:lineRule="auto"/>
              <w:jc w:val="right"/>
              <w:rPr>
                <w:rFonts w:ascii="Arial" w:hAnsi="Arial" w:cs="Arial"/>
                <w:sz w:val="20"/>
                <w:szCs w:val="20"/>
                <w:lang w:val="el-GR"/>
              </w:rPr>
            </w:pPr>
            <w:r w:rsidRPr="000B7CAF">
              <w:rPr>
                <w:rFonts w:ascii="Arial" w:hAnsi="Arial" w:cs="Arial"/>
                <w:sz w:val="24"/>
                <w:szCs w:val="24"/>
                <w:lang w:val="el-GR"/>
              </w:rPr>
              <w:t>«</w:t>
            </w:r>
            <w:r w:rsidRPr="000B7CAF">
              <w:rPr>
                <w:rFonts w:ascii="Arial" w:hAnsi="Arial" w:cs="Arial"/>
                <w:sz w:val="20"/>
                <w:szCs w:val="20"/>
                <w:lang w:val="el-GR"/>
              </w:rPr>
              <w:t>Αυξημένες υποχρεώσεις εγ</w:t>
            </w:r>
            <w:r w:rsidR="00265ACB" w:rsidRPr="000B7CAF">
              <w:rPr>
                <w:rFonts w:ascii="Arial" w:hAnsi="Arial" w:cs="Arial"/>
                <w:sz w:val="20"/>
                <w:szCs w:val="20"/>
                <w:lang w:val="el-GR"/>
              </w:rPr>
              <w:t>κ</w:t>
            </w:r>
            <w:r w:rsidRPr="000B7CAF">
              <w:rPr>
                <w:rFonts w:ascii="Arial" w:hAnsi="Arial" w:cs="Arial"/>
                <w:sz w:val="20"/>
                <w:szCs w:val="20"/>
                <w:lang w:val="el-GR"/>
              </w:rPr>
              <w:t>αταστάσεων</w:t>
            </w:r>
          </w:p>
          <w:p w14:paraId="28E779F6" w14:textId="77777777" w:rsidR="004054E2" w:rsidRPr="000B7CAF" w:rsidRDefault="004054E2" w:rsidP="00876861">
            <w:pPr>
              <w:spacing w:line="360" w:lineRule="auto"/>
              <w:jc w:val="right"/>
              <w:rPr>
                <w:rFonts w:ascii="Arial" w:hAnsi="Arial" w:cs="Arial"/>
                <w:sz w:val="20"/>
                <w:szCs w:val="20"/>
                <w:highlight w:val="yellow"/>
                <w:lang w:val="el-GR"/>
              </w:rPr>
            </w:pPr>
          </w:p>
          <w:p w14:paraId="36072BEC" w14:textId="77777777" w:rsidR="004054E2" w:rsidRPr="000B7CAF" w:rsidRDefault="004054E2" w:rsidP="00A34BCF">
            <w:pPr>
              <w:spacing w:line="360" w:lineRule="auto"/>
              <w:rPr>
                <w:rFonts w:ascii="Arial" w:hAnsi="Arial" w:cs="Arial"/>
                <w:sz w:val="20"/>
                <w:szCs w:val="20"/>
                <w:highlight w:val="yellow"/>
                <w:lang w:val="el-GR"/>
              </w:rPr>
            </w:pPr>
          </w:p>
          <w:p w14:paraId="2B3BDDBB" w14:textId="77777777" w:rsidR="00A34BCF" w:rsidRPr="000B7CAF" w:rsidRDefault="00A34BCF" w:rsidP="00A34BCF">
            <w:pPr>
              <w:spacing w:line="360" w:lineRule="auto"/>
              <w:rPr>
                <w:rFonts w:ascii="Arial" w:hAnsi="Arial" w:cs="Arial"/>
                <w:sz w:val="20"/>
                <w:szCs w:val="20"/>
                <w:highlight w:val="yellow"/>
                <w:lang w:val="el-GR"/>
              </w:rPr>
            </w:pPr>
          </w:p>
          <w:p w14:paraId="4C2CDAC5" w14:textId="77777777" w:rsidR="004054E2" w:rsidRPr="000B7CAF" w:rsidRDefault="004054E2" w:rsidP="00876861">
            <w:pPr>
              <w:spacing w:line="360" w:lineRule="auto"/>
              <w:jc w:val="right"/>
              <w:rPr>
                <w:rFonts w:ascii="Arial" w:hAnsi="Arial" w:cs="Arial"/>
                <w:sz w:val="20"/>
                <w:szCs w:val="20"/>
                <w:highlight w:val="yellow"/>
                <w:lang w:val="el-GR"/>
              </w:rPr>
            </w:pPr>
          </w:p>
          <w:p w14:paraId="6FD18FD4" w14:textId="77777777" w:rsidR="004054E2" w:rsidRPr="000B7CAF" w:rsidRDefault="004054E2" w:rsidP="00876861">
            <w:pPr>
              <w:spacing w:line="360" w:lineRule="auto"/>
              <w:jc w:val="right"/>
              <w:rPr>
                <w:rFonts w:ascii="Arial" w:hAnsi="Arial" w:cs="Arial"/>
                <w:sz w:val="20"/>
                <w:szCs w:val="20"/>
                <w:highlight w:val="yellow"/>
                <w:lang w:val="el-GR"/>
              </w:rPr>
            </w:pPr>
          </w:p>
          <w:p w14:paraId="5587B72B" w14:textId="77777777" w:rsidR="004054E2" w:rsidRPr="000B7CAF" w:rsidRDefault="004054E2" w:rsidP="00876861">
            <w:pPr>
              <w:spacing w:line="360" w:lineRule="auto"/>
              <w:jc w:val="right"/>
              <w:rPr>
                <w:rFonts w:ascii="Arial" w:hAnsi="Arial" w:cs="Arial"/>
                <w:sz w:val="20"/>
                <w:szCs w:val="20"/>
                <w:highlight w:val="yellow"/>
                <w:lang w:val="el-GR"/>
              </w:rPr>
            </w:pPr>
          </w:p>
          <w:p w14:paraId="528ACFE6" w14:textId="77777777" w:rsidR="004054E2" w:rsidRPr="000B7CAF" w:rsidRDefault="004054E2" w:rsidP="00876861">
            <w:pPr>
              <w:spacing w:line="360" w:lineRule="auto"/>
              <w:jc w:val="right"/>
              <w:rPr>
                <w:rFonts w:ascii="Arial" w:hAnsi="Arial" w:cs="Arial"/>
                <w:sz w:val="20"/>
                <w:szCs w:val="20"/>
                <w:highlight w:val="yellow"/>
                <w:lang w:val="el-GR"/>
              </w:rPr>
            </w:pPr>
          </w:p>
          <w:p w14:paraId="32569E3F" w14:textId="77777777" w:rsidR="004054E2" w:rsidRPr="000B7CAF" w:rsidRDefault="004054E2" w:rsidP="00876861">
            <w:pPr>
              <w:spacing w:line="360" w:lineRule="auto"/>
              <w:jc w:val="right"/>
              <w:rPr>
                <w:rFonts w:ascii="Arial" w:hAnsi="Arial" w:cs="Arial"/>
                <w:sz w:val="20"/>
                <w:szCs w:val="20"/>
                <w:highlight w:val="yellow"/>
                <w:lang w:val="el-GR"/>
              </w:rPr>
            </w:pPr>
          </w:p>
          <w:p w14:paraId="40019BBF" w14:textId="77777777" w:rsidR="004054E2" w:rsidRPr="000B7CAF" w:rsidRDefault="004054E2" w:rsidP="00876861">
            <w:pPr>
              <w:spacing w:line="360" w:lineRule="auto"/>
              <w:jc w:val="right"/>
              <w:rPr>
                <w:rFonts w:ascii="Arial" w:hAnsi="Arial" w:cs="Arial"/>
                <w:sz w:val="20"/>
                <w:szCs w:val="20"/>
                <w:highlight w:val="yellow"/>
                <w:lang w:val="el-GR"/>
              </w:rPr>
            </w:pPr>
          </w:p>
          <w:p w14:paraId="18C0C575" w14:textId="77777777" w:rsidR="004054E2" w:rsidRPr="000B7CAF" w:rsidRDefault="004054E2" w:rsidP="00876861">
            <w:pPr>
              <w:spacing w:line="360" w:lineRule="auto"/>
              <w:jc w:val="right"/>
              <w:rPr>
                <w:rFonts w:ascii="Arial" w:hAnsi="Arial" w:cs="Arial"/>
                <w:sz w:val="20"/>
                <w:szCs w:val="20"/>
                <w:highlight w:val="yellow"/>
                <w:lang w:val="el-GR"/>
              </w:rPr>
            </w:pPr>
          </w:p>
          <w:p w14:paraId="3663CF87" w14:textId="77777777" w:rsidR="004054E2" w:rsidRPr="000B7CAF" w:rsidRDefault="004054E2" w:rsidP="00876861">
            <w:pPr>
              <w:spacing w:line="360" w:lineRule="auto"/>
              <w:jc w:val="right"/>
              <w:rPr>
                <w:rFonts w:ascii="Arial" w:hAnsi="Arial" w:cs="Arial"/>
                <w:sz w:val="20"/>
                <w:szCs w:val="20"/>
                <w:highlight w:val="yellow"/>
                <w:lang w:val="el-GR"/>
              </w:rPr>
            </w:pPr>
          </w:p>
          <w:p w14:paraId="32B61B36" w14:textId="77777777" w:rsidR="00A34BCF" w:rsidRPr="000B7CAF" w:rsidRDefault="00A34BCF" w:rsidP="00A34BCF">
            <w:pPr>
              <w:spacing w:line="360" w:lineRule="auto"/>
              <w:jc w:val="right"/>
              <w:rPr>
                <w:rFonts w:ascii="Arial" w:hAnsi="Arial" w:cs="Arial"/>
                <w:sz w:val="20"/>
                <w:szCs w:val="20"/>
                <w:highlight w:val="yellow"/>
                <w:lang w:val="el-GR"/>
              </w:rPr>
            </w:pPr>
          </w:p>
          <w:p w14:paraId="0F3EBD03" w14:textId="77777777" w:rsidR="00A34BCF" w:rsidRPr="000B7CAF" w:rsidRDefault="00A34BCF" w:rsidP="00A34BCF">
            <w:pPr>
              <w:spacing w:line="360" w:lineRule="auto"/>
              <w:jc w:val="right"/>
              <w:rPr>
                <w:rFonts w:ascii="Arial" w:hAnsi="Arial" w:cs="Arial"/>
                <w:sz w:val="20"/>
                <w:szCs w:val="20"/>
                <w:highlight w:val="yellow"/>
                <w:lang w:val="el-GR"/>
              </w:rPr>
            </w:pPr>
          </w:p>
          <w:p w14:paraId="74E5E01F" w14:textId="77777777" w:rsidR="00A34BCF" w:rsidRPr="000B7CAF" w:rsidRDefault="00A34BCF" w:rsidP="00A34BCF">
            <w:pPr>
              <w:spacing w:line="360" w:lineRule="auto"/>
              <w:jc w:val="right"/>
              <w:rPr>
                <w:rFonts w:ascii="Arial" w:hAnsi="Arial" w:cs="Arial"/>
                <w:sz w:val="20"/>
                <w:szCs w:val="20"/>
                <w:highlight w:val="yellow"/>
                <w:lang w:val="el-GR"/>
              </w:rPr>
            </w:pPr>
          </w:p>
          <w:p w14:paraId="31D402C5" w14:textId="77777777" w:rsidR="00A34BCF" w:rsidRPr="000B7CAF" w:rsidRDefault="00A34BCF" w:rsidP="00A34BCF">
            <w:pPr>
              <w:spacing w:line="360" w:lineRule="auto"/>
              <w:jc w:val="right"/>
              <w:rPr>
                <w:rFonts w:ascii="Arial" w:hAnsi="Arial" w:cs="Arial"/>
                <w:sz w:val="20"/>
                <w:szCs w:val="20"/>
                <w:highlight w:val="yellow"/>
                <w:lang w:val="el-GR"/>
              </w:rPr>
            </w:pPr>
          </w:p>
          <w:p w14:paraId="2D7AFCA2" w14:textId="77777777" w:rsidR="00A34BCF" w:rsidRPr="000B7CAF" w:rsidRDefault="00A34BCF" w:rsidP="00A34BCF">
            <w:pPr>
              <w:spacing w:line="360" w:lineRule="auto"/>
              <w:jc w:val="right"/>
              <w:rPr>
                <w:rFonts w:ascii="Arial" w:hAnsi="Arial" w:cs="Arial"/>
                <w:sz w:val="20"/>
                <w:szCs w:val="20"/>
                <w:highlight w:val="yellow"/>
                <w:lang w:val="el-GR"/>
              </w:rPr>
            </w:pPr>
          </w:p>
          <w:p w14:paraId="623AAE1D" w14:textId="77777777" w:rsidR="00A34BCF" w:rsidRPr="000B7CAF" w:rsidRDefault="00A34BCF" w:rsidP="00A34BCF">
            <w:pPr>
              <w:spacing w:line="360" w:lineRule="auto"/>
              <w:jc w:val="right"/>
              <w:rPr>
                <w:rFonts w:ascii="Arial" w:hAnsi="Arial" w:cs="Arial"/>
                <w:sz w:val="20"/>
                <w:szCs w:val="20"/>
                <w:highlight w:val="yellow"/>
                <w:lang w:val="el-GR"/>
              </w:rPr>
            </w:pPr>
          </w:p>
          <w:p w14:paraId="00367185" w14:textId="77777777" w:rsidR="00A34BCF" w:rsidRPr="000B7CAF" w:rsidRDefault="00A34BCF" w:rsidP="00A34BCF">
            <w:pPr>
              <w:spacing w:line="360" w:lineRule="auto"/>
              <w:jc w:val="right"/>
              <w:rPr>
                <w:rFonts w:ascii="Arial" w:hAnsi="Arial" w:cs="Arial"/>
                <w:sz w:val="20"/>
                <w:szCs w:val="20"/>
                <w:highlight w:val="yellow"/>
                <w:lang w:val="el-GR"/>
              </w:rPr>
            </w:pPr>
          </w:p>
          <w:p w14:paraId="43ADACC5" w14:textId="77777777" w:rsidR="00A34BCF" w:rsidRPr="000B7CAF" w:rsidRDefault="00A34BCF" w:rsidP="00A34BCF">
            <w:pPr>
              <w:spacing w:line="360" w:lineRule="auto"/>
              <w:jc w:val="right"/>
              <w:rPr>
                <w:rFonts w:ascii="Arial" w:hAnsi="Arial" w:cs="Arial"/>
                <w:sz w:val="20"/>
                <w:szCs w:val="20"/>
                <w:highlight w:val="yellow"/>
                <w:lang w:val="el-GR"/>
              </w:rPr>
            </w:pPr>
          </w:p>
          <w:p w14:paraId="78C9D6E8" w14:textId="77777777" w:rsidR="00A34BCF" w:rsidRPr="000B7CAF" w:rsidRDefault="00A34BCF" w:rsidP="00A34BCF">
            <w:pPr>
              <w:spacing w:line="360" w:lineRule="auto"/>
              <w:jc w:val="right"/>
              <w:rPr>
                <w:rFonts w:ascii="Arial" w:hAnsi="Arial" w:cs="Arial"/>
                <w:sz w:val="20"/>
                <w:szCs w:val="20"/>
                <w:highlight w:val="yellow"/>
                <w:lang w:val="el-GR"/>
              </w:rPr>
            </w:pPr>
          </w:p>
          <w:p w14:paraId="72468C99" w14:textId="77777777" w:rsidR="00A34BCF" w:rsidRPr="000B7CAF" w:rsidRDefault="00A34BCF" w:rsidP="00A34BCF">
            <w:pPr>
              <w:spacing w:line="360" w:lineRule="auto"/>
              <w:jc w:val="right"/>
              <w:rPr>
                <w:rFonts w:ascii="Arial" w:hAnsi="Arial" w:cs="Arial"/>
                <w:sz w:val="20"/>
                <w:szCs w:val="20"/>
                <w:highlight w:val="yellow"/>
                <w:lang w:val="el-GR"/>
              </w:rPr>
            </w:pPr>
          </w:p>
          <w:p w14:paraId="178CAF6A" w14:textId="77777777" w:rsidR="00A34BCF" w:rsidRPr="000B7CAF" w:rsidRDefault="00A34BCF" w:rsidP="00A34BCF">
            <w:pPr>
              <w:spacing w:line="360" w:lineRule="auto"/>
              <w:jc w:val="right"/>
              <w:rPr>
                <w:rFonts w:ascii="Arial" w:hAnsi="Arial" w:cs="Arial"/>
                <w:sz w:val="20"/>
                <w:szCs w:val="20"/>
                <w:highlight w:val="yellow"/>
                <w:lang w:val="el-GR"/>
              </w:rPr>
            </w:pPr>
          </w:p>
          <w:p w14:paraId="0B32234B" w14:textId="77777777" w:rsidR="00A34BCF" w:rsidRPr="000B7CAF" w:rsidRDefault="00A34BCF" w:rsidP="00A34BCF">
            <w:pPr>
              <w:spacing w:line="360" w:lineRule="auto"/>
              <w:jc w:val="right"/>
              <w:rPr>
                <w:rFonts w:ascii="Arial" w:hAnsi="Arial" w:cs="Arial"/>
                <w:sz w:val="20"/>
                <w:szCs w:val="20"/>
                <w:highlight w:val="yellow"/>
                <w:lang w:val="el-GR"/>
              </w:rPr>
            </w:pPr>
          </w:p>
          <w:p w14:paraId="41ADEF2A" w14:textId="77777777" w:rsidR="00A34BCF" w:rsidRPr="000B7CAF" w:rsidRDefault="00A34BCF" w:rsidP="00A34BCF">
            <w:pPr>
              <w:spacing w:line="360" w:lineRule="auto"/>
              <w:jc w:val="right"/>
              <w:rPr>
                <w:rFonts w:ascii="Arial" w:hAnsi="Arial" w:cs="Arial"/>
                <w:sz w:val="20"/>
                <w:szCs w:val="20"/>
                <w:lang w:val="el-GR"/>
              </w:rPr>
            </w:pPr>
            <w:r w:rsidRPr="000B7CAF">
              <w:rPr>
                <w:rFonts w:ascii="Arial" w:hAnsi="Arial" w:cs="Arial"/>
                <w:sz w:val="20"/>
                <w:szCs w:val="20"/>
                <w:lang w:val="el-GR"/>
              </w:rPr>
              <w:t xml:space="preserve">Επίσημη </w:t>
            </w:r>
          </w:p>
          <w:p w14:paraId="48BCFE9E" w14:textId="38853864" w:rsidR="00A34BCF" w:rsidRPr="000B7CAF" w:rsidRDefault="00A34BCF" w:rsidP="00A34BCF">
            <w:pPr>
              <w:spacing w:line="360" w:lineRule="auto"/>
              <w:jc w:val="right"/>
              <w:rPr>
                <w:rFonts w:ascii="Arial" w:hAnsi="Arial" w:cs="Arial"/>
                <w:sz w:val="20"/>
                <w:szCs w:val="20"/>
                <w:lang w:val="el-GR"/>
              </w:rPr>
            </w:pPr>
            <w:r w:rsidRPr="000B7CAF">
              <w:rPr>
                <w:rFonts w:ascii="Arial" w:hAnsi="Arial" w:cs="Arial"/>
                <w:sz w:val="20"/>
                <w:szCs w:val="20"/>
                <w:lang w:val="el-GR"/>
              </w:rPr>
              <w:t>Εφημερίδα, Παράρτημα Τρίτο (Ι): 6.10.2017.</w:t>
            </w:r>
          </w:p>
          <w:p w14:paraId="3E9EBEE0" w14:textId="6F2B08FE" w:rsidR="004054E2" w:rsidRPr="000B7CAF" w:rsidRDefault="004054E2" w:rsidP="00876861">
            <w:pPr>
              <w:spacing w:line="360" w:lineRule="auto"/>
              <w:jc w:val="right"/>
              <w:rPr>
                <w:rFonts w:ascii="Arial" w:hAnsi="Arial" w:cs="Arial"/>
                <w:sz w:val="24"/>
                <w:szCs w:val="24"/>
                <w:highlight w:val="yellow"/>
                <w:lang w:val="el-GR"/>
              </w:rPr>
            </w:pPr>
          </w:p>
        </w:tc>
        <w:tc>
          <w:tcPr>
            <w:tcW w:w="5408" w:type="dxa"/>
          </w:tcPr>
          <w:p w14:paraId="3452AD18" w14:textId="1A00ED13" w:rsidR="009D4C16" w:rsidRPr="000B7CAF" w:rsidRDefault="00265ACB" w:rsidP="00643FE2">
            <w:pPr>
              <w:spacing w:line="360" w:lineRule="auto"/>
              <w:jc w:val="both"/>
              <w:rPr>
                <w:rFonts w:ascii="Arial" w:hAnsi="Arial" w:cs="Arial"/>
                <w:sz w:val="24"/>
                <w:szCs w:val="24"/>
                <w:lang w:val="el-GR"/>
              </w:rPr>
            </w:pPr>
            <w:r w:rsidRPr="000B7CAF">
              <w:rPr>
                <w:rFonts w:ascii="Arial" w:hAnsi="Arial" w:cs="Arial"/>
                <w:sz w:val="24"/>
                <w:szCs w:val="24"/>
                <w:lang w:val="el-GR"/>
              </w:rPr>
              <w:lastRenderedPageBreak/>
              <w:t>11Α.</w:t>
            </w:r>
            <w:r w:rsidR="009923B7" w:rsidRPr="000B7CAF">
              <w:rPr>
                <w:rFonts w:ascii="Arial" w:hAnsi="Arial" w:cs="Arial"/>
                <w:sz w:val="24"/>
                <w:szCs w:val="24"/>
                <w:lang w:val="el-GR"/>
              </w:rPr>
              <w:t xml:space="preserve">-(1) </w:t>
            </w:r>
            <w:r w:rsidR="009923B7" w:rsidRPr="000B7CAF">
              <w:rPr>
                <w:rFonts w:ascii="Arial" w:hAnsi="Arial" w:cs="Arial"/>
                <w:sz w:val="24"/>
                <w:szCs w:val="24"/>
                <w:highlight w:val="yellow"/>
                <w:lang w:val="el-GR"/>
              </w:rPr>
              <w:t xml:space="preserve">Κάθε </w:t>
            </w:r>
            <w:r w:rsidR="001807D6" w:rsidRPr="000B7CAF">
              <w:rPr>
                <w:rFonts w:ascii="Arial" w:hAnsi="Arial" w:cs="Arial"/>
                <w:sz w:val="24"/>
                <w:szCs w:val="24"/>
                <w:highlight w:val="yellow"/>
                <w:lang w:val="el-GR"/>
              </w:rPr>
              <w:t xml:space="preserve">εργοδότης </w:t>
            </w:r>
            <w:r w:rsidR="001807D6" w:rsidRPr="000B7CAF">
              <w:rPr>
                <w:rFonts w:ascii="Arial" w:hAnsi="Arial" w:cs="Arial"/>
                <w:sz w:val="24"/>
                <w:szCs w:val="24"/>
                <w:lang w:val="el-GR"/>
              </w:rPr>
              <w:t>χώρου εργασίας</w:t>
            </w:r>
            <w:r w:rsidR="00643FE2" w:rsidRPr="000B7CAF">
              <w:rPr>
                <w:rFonts w:ascii="Arial" w:hAnsi="Arial" w:cs="Arial"/>
                <w:sz w:val="24"/>
                <w:szCs w:val="24"/>
                <w:lang w:val="el-GR"/>
              </w:rPr>
              <w:t xml:space="preserve"> </w:t>
            </w:r>
            <w:r w:rsidR="004E1DB2" w:rsidRPr="000B7CAF">
              <w:rPr>
                <w:rFonts w:ascii="Arial" w:hAnsi="Arial" w:cs="Arial"/>
                <w:sz w:val="24"/>
                <w:szCs w:val="24"/>
                <w:lang w:val="el-GR"/>
              </w:rPr>
              <w:t>στ</w:t>
            </w:r>
            <w:r w:rsidR="001807D6" w:rsidRPr="000B7CAF">
              <w:rPr>
                <w:rFonts w:ascii="Arial" w:hAnsi="Arial" w:cs="Arial"/>
                <w:sz w:val="24"/>
                <w:szCs w:val="24"/>
                <w:lang w:val="el-GR"/>
              </w:rPr>
              <w:t>ο</w:t>
            </w:r>
            <w:r w:rsidR="004E1DB2" w:rsidRPr="000B7CAF">
              <w:rPr>
                <w:rFonts w:ascii="Arial" w:hAnsi="Arial" w:cs="Arial"/>
                <w:sz w:val="24"/>
                <w:szCs w:val="24"/>
                <w:lang w:val="el-GR"/>
              </w:rPr>
              <w:t>ν οποί</w:t>
            </w:r>
            <w:r w:rsidR="001807D6" w:rsidRPr="000B7CAF">
              <w:rPr>
                <w:rFonts w:ascii="Arial" w:hAnsi="Arial" w:cs="Arial"/>
                <w:sz w:val="24"/>
                <w:szCs w:val="24"/>
                <w:lang w:val="el-GR"/>
              </w:rPr>
              <w:t>ο</w:t>
            </w:r>
            <w:r w:rsidR="004E1DB2" w:rsidRPr="000B7CAF">
              <w:rPr>
                <w:rFonts w:ascii="Arial" w:hAnsi="Arial" w:cs="Arial"/>
                <w:sz w:val="24"/>
                <w:szCs w:val="24"/>
                <w:lang w:val="el-GR"/>
              </w:rPr>
              <w:t xml:space="preserve"> </w:t>
            </w:r>
            <w:r w:rsidR="00643FE2" w:rsidRPr="000B7CAF">
              <w:rPr>
                <w:rFonts w:ascii="Arial" w:hAnsi="Arial" w:cs="Arial"/>
                <w:sz w:val="24"/>
                <w:szCs w:val="24"/>
                <w:highlight w:val="yellow"/>
                <w:lang w:val="el-GR"/>
              </w:rPr>
              <w:t xml:space="preserve">υπάρχουν χημικές ουσίες </w:t>
            </w:r>
            <w:r w:rsidR="004E1DB2" w:rsidRPr="000B7CAF">
              <w:rPr>
                <w:rFonts w:ascii="Arial" w:hAnsi="Arial" w:cs="Arial"/>
                <w:sz w:val="24"/>
                <w:szCs w:val="24"/>
                <w:highlight w:val="yellow"/>
                <w:lang w:val="el-GR"/>
              </w:rPr>
              <w:t>σε ποσότητ</w:t>
            </w:r>
            <w:r w:rsidR="001807D6" w:rsidRPr="000B7CAF">
              <w:rPr>
                <w:rFonts w:ascii="Arial" w:hAnsi="Arial" w:cs="Arial"/>
                <w:sz w:val="24"/>
                <w:szCs w:val="24"/>
                <w:highlight w:val="yellow"/>
                <w:lang w:val="el-GR"/>
              </w:rPr>
              <w:t>α</w:t>
            </w:r>
            <w:r w:rsidR="004E1DB2" w:rsidRPr="000B7CAF">
              <w:rPr>
                <w:rFonts w:ascii="Arial" w:hAnsi="Arial" w:cs="Arial"/>
                <w:sz w:val="24"/>
                <w:szCs w:val="24"/>
                <w:highlight w:val="yellow"/>
                <w:lang w:val="el-GR"/>
              </w:rPr>
              <w:t xml:space="preserve"> </w:t>
            </w:r>
            <w:r w:rsidR="00643FE2" w:rsidRPr="000B7CAF">
              <w:rPr>
                <w:rFonts w:ascii="Arial" w:hAnsi="Arial" w:cs="Arial"/>
                <w:sz w:val="24"/>
                <w:szCs w:val="24"/>
                <w:highlight w:val="yellow"/>
                <w:lang w:val="el-GR"/>
              </w:rPr>
              <w:t>ίσ</w:t>
            </w:r>
            <w:r w:rsidR="001807D6" w:rsidRPr="000B7CAF">
              <w:rPr>
                <w:rFonts w:ascii="Arial" w:hAnsi="Arial" w:cs="Arial"/>
                <w:sz w:val="24"/>
                <w:szCs w:val="24"/>
                <w:highlight w:val="yellow"/>
                <w:lang w:val="el-GR"/>
              </w:rPr>
              <w:t>η</w:t>
            </w:r>
            <w:r w:rsidR="00643FE2" w:rsidRPr="000B7CAF">
              <w:rPr>
                <w:rFonts w:ascii="Arial" w:hAnsi="Arial" w:cs="Arial"/>
                <w:sz w:val="24"/>
                <w:szCs w:val="24"/>
                <w:highlight w:val="yellow"/>
                <w:lang w:val="el-GR"/>
              </w:rPr>
              <w:t xml:space="preserve"> ή μεγαλύτερ</w:t>
            </w:r>
            <w:r w:rsidR="001807D6" w:rsidRPr="000B7CAF">
              <w:rPr>
                <w:rFonts w:ascii="Arial" w:hAnsi="Arial" w:cs="Arial"/>
                <w:sz w:val="24"/>
                <w:szCs w:val="24"/>
                <w:highlight w:val="yellow"/>
                <w:lang w:val="el-GR"/>
              </w:rPr>
              <w:t>η</w:t>
            </w:r>
            <w:r w:rsidR="00643FE2" w:rsidRPr="000B7CAF">
              <w:rPr>
                <w:rFonts w:ascii="Arial" w:hAnsi="Arial" w:cs="Arial"/>
                <w:sz w:val="24"/>
                <w:szCs w:val="24"/>
                <w:highlight w:val="yellow"/>
                <w:lang w:val="el-GR"/>
              </w:rPr>
              <w:t xml:space="preserve"> του </w:t>
            </w:r>
            <w:r w:rsidR="007D5B8C" w:rsidRPr="000B7CAF">
              <w:rPr>
                <w:rFonts w:ascii="Arial" w:hAnsi="Arial" w:cs="Arial"/>
                <w:sz w:val="24"/>
                <w:szCs w:val="24"/>
                <w:highlight w:val="yellow"/>
                <w:lang w:val="el-GR"/>
              </w:rPr>
              <w:t xml:space="preserve">75% </w:t>
            </w:r>
            <w:r w:rsidR="00643FE2" w:rsidRPr="000B7CAF">
              <w:rPr>
                <w:rFonts w:ascii="Arial" w:hAnsi="Arial" w:cs="Arial"/>
                <w:sz w:val="24"/>
                <w:szCs w:val="24"/>
                <w:highlight w:val="yellow"/>
                <w:lang w:val="el-GR"/>
              </w:rPr>
              <w:t xml:space="preserve"> </w:t>
            </w:r>
            <w:r w:rsidR="001807D6" w:rsidRPr="000B7CAF">
              <w:rPr>
                <w:rFonts w:ascii="Arial" w:hAnsi="Arial" w:cs="Arial"/>
                <w:sz w:val="24"/>
                <w:szCs w:val="24"/>
                <w:highlight w:val="yellow"/>
                <w:lang w:val="el-GR"/>
              </w:rPr>
              <w:t>των οριακών ποσοτήτων</w:t>
            </w:r>
            <w:r w:rsidR="001807D6" w:rsidRPr="000B7CAF">
              <w:rPr>
                <w:rFonts w:ascii="Arial" w:hAnsi="Arial" w:cs="Arial"/>
                <w:sz w:val="24"/>
                <w:szCs w:val="24"/>
                <w:lang w:val="el-GR"/>
              </w:rPr>
              <w:t xml:space="preserve"> που καθορίζονται στη στήλη 2 του Μέρους 1 του Παραρτήματος Ι ή στη στήλη 2 του Μέρους 2 του Παραρτήματος Ι, χρησιμοποιώντας όπου έχει </w:t>
            </w:r>
            <w:r w:rsidR="001807D6" w:rsidRPr="000B7CAF">
              <w:rPr>
                <w:rFonts w:ascii="Arial" w:hAnsi="Arial" w:cs="Arial"/>
                <w:sz w:val="24"/>
                <w:szCs w:val="24"/>
                <w:lang w:val="el-GR"/>
              </w:rPr>
              <w:lastRenderedPageBreak/>
              <w:t xml:space="preserve">εφαρμογή τον αθροιστικό κανόνα που καθορίζεται στη σημείωση 4 του Παραρτήματος Ι, </w:t>
            </w:r>
            <w:r w:rsidR="009D4C16" w:rsidRPr="000B7CAF">
              <w:rPr>
                <w:rFonts w:ascii="Arial" w:hAnsi="Arial" w:cs="Arial"/>
                <w:sz w:val="24"/>
                <w:szCs w:val="24"/>
                <w:highlight w:val="yellow"/>
                <w:lang w:val="el-GR"/>
              </w:rPr>
              <w:t>οφείλ</w:t>
            </w:r>
            <w:r w:rsidR="009A1836" w:rsidRPr="000B7CAF">
              <w:rPr>
                <w:rFonts w:ascii="Arial" w:hAnsi="Arial" w:cs="Arial"/>
                <w:sz w:val="24"/>
                <w:szCs w:val="24"/>
                <w:highlight w:val="yellow"/>
                <w:lang w:val="el-GR"/>
              </w:rPr>
              <w:t>ει</w:t>
            </w:r>
            <w:r w:rsidR="009D4C16" w:rsidRPr="000B7CAF">
              <w:rPr>
                <w:rFonts w:ascii="Arial" w:hAnsi="Arial" w:cs="Arial"/>
                <w:sz w:val="24"/>
                <w:szCs w:val="24"/>
                <w:highlight w:val="yellow"/>
                <w:lang w:val="el-GR"/>
              </w:rPr>
              <w:t xml:space="preserve"> να υποβάλ</w:t>
            </w:r>
            <w:r w:rsidR="009A1836" w:rsidRPr="000B7CAF">
              <w:rPr>
                <w:rFonts w:ascii="Arial" w:hAnsi="Arial" w:cs="Arial"/>
                <w:sz w:val="24"/>
                <w:szCs w:val="24"/>
                <w:highlight w:val="yellow"/>
                <w:lang w:val="el-GR"/>
              </w:rPr>
              <w:t>ει</w:t>
            </w:r>
            <w:r w:rsidR="009D4C16" w:rsidRPr="000B7CAF">
              <w:rPr>
                <w:rFonts w:ascii="Arial" w:hAnsi="Arial" w:cs="Arial"/>
                <w:sz w:val="24"/>
                <w:szCs w:val="24"/>
                <w:highlight w:val="yellow"/>
                <w:lang w:val="el-GR"/>
              </w:rPr>
              <w:t xml:space="preserve"> σ</w:t>
            </w:r>
            <w:r w:rsidR="00530F2D" w:rsidRPr="000B7CAF">
              <w:rPr>
                <w:rFonts w:ascii="Arial" w:hAnsi="Arial" w:cs="Arial"/>
                <w:sz w:val="24"/>
                <w:szCs w:val="24"/>
                <w:highlight w:val="yellow"/>
                <w:lang w:val="el-GR"/>
              </w:rPr>
              <w:t xml:space="preserve">την αρμόδια Αρχή </w:t>
            </w:r>
            <w:r w:rsidR="009D4C16" w:rsidRPr="000B7CAF">
              <w:rPr>
                <w:rFonts w:ascii="Arial" w:hAnsi="Arial" w:cs="Arial"/>
                <w:sz w:val="24"/>
                <w:szCs w:val="24"/>
                <w:highlight w:val="yellow"/>
                <w:lang w:val="el-GR"/>
              </w:rPr>
              <w:t xml:space="preserve">τις πληροφορίες που </w:t>
            </w:r>
            <w:r w:rsidR="004E1DB2" w:rsidRPr="000B7CAF">
              <w:rPr>
                <w:rFonts w:ascii="Arial" w:hAnsi="Arial" w:cs="Arial"/>
                <w:sz w:val="24"/>
                <w:szCs w:val="24"/>
                <w:highlight w:val="yellow"/>
                <w:lang w:val="el-GR"/>
              </w:rPr>
              <w:t xml:space="preserve">απαριθμούνται </w:t>
            </w:r>
            <w:r w:rsidR="007D5B8C" w:rsidRPr="000B7CAF">
              <w:rPr>
                <w:rFonts w:ascii="Arial" w:hAnsi="Arial" w:cs="Arial"/>
                <w:sz w:val="24"/>
                <w:szCs w:val="24"/>
                <w:highlight w:val="yellow"/>
                <w:lang w:val="el-GR"/>
              </w:rPr>
              <w:t xml:space="preserve">στα </w:t>
            </w:r>
            <w:r w:rsidR="00530F2D" w:rsidRPr="000B7CAF">
              <w:rPr>
                <w:rFonts w:ascii="Arial" w:hAnsi="Arial" w:cs="Arial"/>
                <w:sz w:val="24"/>
                <w:szCs w:val="24"/>
                <w:highlight w:val="yellow"/>
                <w:lang w:val="el-GR"/>
              </w:rPr>
              <w:t>Παραρτήματα</w:t>
            </w:r>
            <w:r w:rsidR="009D4C16" w:rsidRPr="000B7CAF">
              <w:rPr>
                <w:rFonts w:ascii="Arial" w:hAnsi="Arial" w:cs="Arial"/>
                <w:sz w:val="24"/>
                <w:szCs w:val="24"/>
                <w:highlight w:val="yellow"/>
                <w:lang w:val="el-GR"/>
              </w:rPr>
              <w:t xml:space="preserve"> ΙΙ</w:t>
            </w:r>
            <w:r w:rsidR="007D5B8C" w:rsidRPr="000B7CAF">
              <w:rPr>
                <w:rFonts w:ascii="Arial" w:hAnsi="Arial" w:cs="Arial"/>
                <w:sz w:val="24"/>
                <w:szCs w:val="24"/>
                <w:highlight w:val="yellow"/>
                <w:lang w:val="el-GR"/>
              </w:rPr>
              <w:t xml:space="preserve"> και ΙΙΙ</w:t>
            </w:r>
            <w:r w:rsidR="009D4C16" w:rsidRPr="000B7CAF">
              <w:rPr>
                <w:rFonts w:ascii="Arial" w:hAnsi="Arial" w:cs="Arial"/>
                <w:sz w:val="24"/>
                <w:szCs w:val="24"/>
                <w:highlight w:val="yellow"/>
                <w:lang w:val="el-GR"/>
              </w:rPr>
              <w:t>.</w:t>
            </w:r>
            <w:r w:rsidR="000A428C" w:rsidRPr="000B7CAF">
              <w:rPr>
                <w:rFonts w:ascii="Arial" w:hAnsi="Arial" w:cs="Arial"/>
                <w:sz w:val="24"/>
                <w:szCs w:val="24"/>
                <w:highlight w:val="yellow"/>
                <w:lang w:val="el-GR"/>
              </w:rPr>
              <w:t xml:space="preserve"> </w:t>
            </w:r>
            <w:r w:rsidR="000A428C" w:rsidRPr="000B7CAF">
              <w:rPr>
                <w:rFonts w:ascii="Arial" w:hAnsi="Arial" w:cs="Arial"/>
                <w:sz w:val="24"/>
                <w:szCs w:val="24"/>
                <w:lang w:val="el-GR"/>
              </w:rPr>
              <w:t xml:space="preserve">Η αρμόδια Αρχή </w:t>
            </w:r>
            <w:r w:rsidR="001807D6" w:rsidRPr="000B7CAF">
              <w:rPr>
                <w:rFonts w:ascii="Arial" w:hAnsi="Arial" w:cs="Arial"/>
                <w:sz w:val="24"/>
                <w:szCs w:val="24"/>
                <w:lang w:val="el-GR"/>
              </w:rPr>
              <w:t xml:space="preserve">αφού εξετάσει τις υποβληθείσες πληροφορίες </w:t>
            </w:r>
            <w:r w:rsidR="000A428C" w:rsidRPr="000B7CAF">
              <w:rPr>
                <w:rFonts w:ascii="Arial" w:hAnsi="Arial" w:cs="Arial"/>
                <w:sz w:val="24"/>
                <w:szCs w:val="24"/>
                <w:highlight w:val="yellow"/>
                <w:lang w:val="el-GR"/>
              </w:rPr>
              <w:t>δύναται</w:t>
            </w:r>
            <w:r w:rsidR="000A428C" w:rsidRPr="000B7CAF">
              <w:rPr>
                <w:rFonts w:ascii="Arial" w:hAnsi="Arial" w:cs="Arial"/>
                <w:sz w:val="24"/>
                <w:szCs w:val="24"/>
                <w:lang w:val="el-GR"/>
              </w:rPr>
              <w:t xml:space="preserve"> </w:t>
            </w:r>
            <w:r w:rsidR="001807D6" w:rsidRPr="000B7CAF">
              <w:rPr>
                <w:rFonts w:ascii="Arial" w:hAnsi="Arial" w:cs="Arial"/>
                <w:sz w:val="24"/>
                <w:szCs w:val="24"/>
                <w:lang w:val="el-GR"/>
              </w:rPr>
              <w:t xml:space="preserve">περαιτέρω </w:t>
            </w:r>
            <w:r w:rsidR="000A428C" w:rsidRPr="000B7CAF">
              <w:rPr>
                <w:rFonts w:ascii="Arial" w:hAnsi="Arial" w:cs="Arial"/>
                <w:sz w:val="24"/>
                <w:szCs w:val="24"/>
                <w:highlight w:val="yellow"/>
                <w:lang w:val="el-GR"/>
              </w:rPr>
              <w:t xml:space="preserve">να ζητήσει </w:t>
            </w:r>
            <w:r w:rsidR="001807D6" w:rsidRPr="000B7CAF">
              <w:rPr>
                <w:rFonts w:ascii="Arial" w:hAnsi="Arial" w:cs="Arial"/>
                <w:sz w:val="24"/>
                <w:szCs w:val="24"/>
                <w:highlight w:val="yellow"/>
                <w:lang w:val="el-GR"/>
              </w:rPr>
              <w:t>τις πληροφορίες που αναφέρονται στον Κανονισμό 11(2).</w:t>
            </w:r>
          </w:p>
          <w:p w14:paraId="0EFBA90B" w14:textId="77777777" w:rsidR="009D4C16" w:rsidRPr="000B7CAF" w:rsidRDefault="009D4C16" w:rsidP="00643FE2">
            <w:pPr>
              <w:spacing w:line="360" w:lineRule="auto"/>
              <w:jc w:val="both"/>
              <w:rPr>
                <w:rFonts w:ascii="Arial" w:hAnsi="Arial" w:cs="Arial"/>
                <w:sz w:val="24"/>
                <w:szCs w:val="24"/>
                <w:highlight w:val="yellow"/>
                <w:lang w:val="el-GR"/>
              </w:rPr>
            </w:pPr>
          </w:p>
          <w:p w14:paraId="0A95A07B" w14:textId="7DF6B08E" w:rsidR="005834AF" w:rsidRPr="000B7CAF" w:rsidRDefault="009D4C16" w:rsidP="007D5B8C">
            <w:pPr>
              <w:spacing w:line="360" w:lineRule="auto"/>
              <w:jc w:val="both"/>
              <w:rPr>
                <w:rFonts w:ascii="Arial" w:hAnsi="Arial" w:cs="Arial"/>
                <w:sz w:val="24"/>
                <w:szCs w:val="24"/>
                <w:highlight w:val="yellow"/>
                <w:lang w:val="el-GR"/>
              </w:rPr>
            </w:pPr>
            <w:r w:rsidRPr="000B7CAF">
              <w:rPr>
                <w:rFonts w:ascii="Arial" w:hAnsi="Arial" w:cs="Arial"/>
                <w:sz w:val="24"/>
                <w:szCs w:val="24"/>
                <w:lang w:val="el-GR"/>
              </w:rPr>
              <w:t xml:space="preserve">(2)  </w:t>
            </w:r>
            <w:r w:rsidRPr="000B7CAF">
              <w:rPr>
                <w:rFonts w:ascii="Arial" w:hAnsi="Arial" w:cs="Arial"/>
                <w:sz w:val="24"/>
                <w:szCs w:val="24"/>
                <w:highlight w:val="yellow"/>
                <w:lang w:val="el-GR"/>
              </w:rPr>
              <w:t xml:space="preserve">Κάθε </w:t>
            </w:r>
            <w:r w:rsidR="001807D6" w:rsidRPr="000B7CAF">
              <w:rPr>
                <w:rFonts w:ascii="Arial" w:hAnsi="Arial" w:cs="Arial"/>
                <w:sz w:val="24"/>
                <w:szCs w:val="24"/>
                <w:highlight w:val="yellow"/>
                <w:lang w:val="el-GR"/>
              </w:rPr>
              <w:t xml:space="preserve">εργοδότης </w:t>
            </w:r>
            <w:r w:rsidR="001807D6" w:rsidRPr="000B7CAF">
              <w:rPr>
                <w:rFonts w:ascii="Arial" w:hAnsi="Arial" w:cs="Arial"/>
                <w:sz w:val="24"/>
                <w:szCs w:val="24"/>
                <w:lang w:val="el-GR"/>
              </w:rPr>
              <w:t>χώρου εργασίας</w:t>
            </w:r>
            <w:r w:rsidR="004E1DB2" w:rsidRPr="000B7CAF">
              <w:rPr>
                <w:rFonts w:ascii="Arial" w:hAnsi="Arial" w:cs="Arial"/>
                <w:sz w:val="24"/>
                <w:szCs w:val="24"/>
                <w:lang w:val="el-GR"/>
              </w:rPr>
              <w:t xml:space="preserve"> </w:t>
            </w:r>
            <w:r w:rsidR="009541BC" w:rsidRPr="000B7CAF">
              <w:rPr>
                <w:rFonts w:ascii="Arial" w:hAnsi="Arial" w:cs="Arial"/>
                <w:sz w:val="24"/>
                <w:szCs w:val="24"/>
                <w:highlight w:val="yellow"/>
                <w:lang w:val="el-GR"/>
              </w:rPr>
              <w:t xml:space="preserve">που </w:t>
            </w:r>
            <w:r w:rsidR="005834AF" w:rsidRPr="000B7CAF">
              <w:rPr>
                <w:rFonts w:ascii="Arial" w:hAnsi="Arial" w:cs="Arial"/>
                <w:sz w:val="24"/>
                <w:szCs w:val="24"/>
                <w:highlight w:val="yellow"/>
                <w:lang w:val="el-GR"/>
              </w:rPr>
              <w:t xml:space="preserve">εφάπτεται </w:t>
            </w:r>
            <w:r w:rsidR="005834AF" w:rsidRPr="000B7CAF">
              <w:rPr>
                <w:rFonts w:ascii="Arial" w:hAnsi="Arial" w:cs="Arial"/>
                <w:sz w:val="24"/>
                <w:szCs w:val="24"/>
                <w:lang w:val="el-GR"/>
              </w:rPr>
              <w:t>σε</w:t>
            </w:r>
            <w:r w:rsidR="005834AF" w:rsidRPr="000B7CAF">
              <w:rPr>
                <w:rFonts w:ascii="Arial" w:hAnsi="Arial" w:cs="Arial"/>
                <w:sz w:val="24"/>
                <w:szCs w:val="24"/>
                <w:highlight w:val="yellow"/>
                <w:lang w:val="el-GR"/>
              </w:rPr>
              <w:t xml:space="preserve"> </w:t>
            </w:r>
            <w:r w:rsidR="004E1DB2" w:rsidRPr="000B7CAF">
              <w:rPr>
                <w:rFonts w:ascii="Arial" w:hAnsi="Arial" w:cs="Arial"/>
                <w:sz w:val="24"/>
                <w:szCs w:val="24"/>
                <w:highlight w:val="yellow"/>
                <w:lang w:val="el-GR"/>
              </w:rPr>
              <w:t>μονάδα κατώτερης ή ανώτερης βαθμίδας</w:t>
            </w:r>
            <w:r w:rsidR="009541BC" w:rsidRPr="000B7CAF">
              <w:rPr>
                <w:rFonts w:ascii="Arial" w:hAnsi="Arial" w:cs="Arial"/>
                <w:sz w:val="24"/>
                <w:szCs w:val="24"/>
                <w:highlight w:val="yellow"/>
                <w:lang w:val="el-GR"/>
              </w:rPr>
              <w:t>,</w:t>
            </w:r>
            <w:r w:rsidR="004311E1" w:rsidRPr="000B7CAF">
              <w:rPr>
                <w:rFonts w:ascii="Arial" w:hAnsi="Arial" w:cs="Arial"/>
                <w:sz w:val="24"/>
                <w:szCs w:val="24"/>
                <w:highlight w:val="yellow"/>
                <w:lang w:val="el-GR"/>
              </w:rPr>
              <w:t xml:space="preserve"> </w:t>
            </w:r>
            <w:r w:rsidR="009A1836" w:rsidRPr="000B7CAF">
              <w:rPr>
                <w:rFonts w:ascii="Arial" w:hAnsi="Arial" w:cs="Arial"/>
                <w:sz w:val="24"/>
                <w:szCs w:val="24"/>
                <w:highlight w:val="yellow"/>
                <w:lang w:val="el-GR"/>
              </w:rPr>
              <w:t>οφείλει</w:t>
            </w:r>
            <w:r w:rsidR="005834AF" w:rsidRPr="000B7CAF">
              <w:rPr>
                <w:rFonts w:ascii="Arial" w:hAnsi="Arial" w:cs="Arial"/>
                <w:sz w:val="24"/>
                <w:szCs w:val="24"/>
                <w:highlight w:val="yellow"/>
                <w:lang w:val="el-GR"/>
              </w:rPr>
              <w:t>:</w:t>
            </w:r>
          </w:p>
          <w:p w14:paraId="6A264C4E" w14:textId="6192CBAE" w:rsidR="00236CBE" w:rsidRPr="000B7CAF" w:rsidRDefault="005834AF" w:rsidP="007D5B8C">
            <w:pPr>
              <w:spacing w:line="360" w:lineRule="auto"/>
              <w:jc w:val="both"/>
              <w:rPr>
                <w:rFonts w:ascii="Arial" w:hAnsi="Arial" w:cs="Arial"/>
                <w:sz w:val="24"/>
                <w:szCs w:val="24"/>
                <w:highlight w:val="yellow"/>
                <w:lang w:val="el-GR"/>
              </w:rPr>
            </w:pPr>
            <w:r w:rsidRPr="000B7CAF">
              <w:rPr>
                <w:rFonts w:ascii="Arial" w:hAnsi="Arial" w:cs="Arial"/>
                <w:sz w:val="24"/>
                <w:szCs w:val="24"/>
                <w:highlight w:val="yellow"/>
                <w:lang w:val="el-GR"/>
              </w:rPr>
              <w:t>(α)</w:t>
            </w:r>
            <w:r w:rsidR="009A1836" w:rsidRPr="000B7CAF">
              <w:rPr>
                <w:rFonts w:ascii="Arial" w:hAnsi="Arial" w:cs="Arial"/>
                <w:sz w:val="24"/>
                <w:szCs w:val="24"/>
                <w:highlight w:val="yellow"/>
                <w:lang w:val="el-GR"/>
              </w:rPr>
              <w:t xml:space="preserve"> να υποβάλει </w:t>
            </w:r>
            <w:r w:rsidR="00530F2D" w:rsidRPr="000B7CAF">
              <w:rPr>
                <w:rFonts w:ascii="Arial" w:hAnsi="Arial" w:cs="Arial"/>
                <w:sz w:val="24"/>
                <w:szCs w:val="24"/>
                <w:highlight w:val="yellow"/>
                <w:lang w:val="el-GR"/>
              </w:rPr>
              <w:t xml:space="preserve">στην αρμόδια Αρχή </w:t>
            </w:r>
            <w:r w:rsidR="009A1836" w:rsidRPr="000B7CAF">
              <w:rPr>
                <w:rFonts w:ascii="Arial" w:hAnsi="Arial" w:cs="Arial"/>
                <w:sz w:val="24"/>
                <w:szCs w:val="24"/>
                <w:highlight w:val="yellow"/>
                <w:lang w:val="el-GR"/>
              </w:rPr>
              <w:t>τις πληροφορίες που απαριθμούνται στο Παράρτημα ΙΙ</w:t>
            </w:r>
            <w:r w:rsidR="00A0410F" w:rsidRPr="000B7CAF">
              <w:rPr>
                <w:rFonts w:ascii="Arial" w:hAnsi="Arial" w:cs="Arial"/>
                <w:sz w:val="24"/>
                <w:szCs w:val="24"/>
                <w:highlight w:val="yellow"/>
                <w:lang w:val="el-GR"/>
              </w:rPr>
              <w:t xml:space="preserve"> και όπου εφαρμόζει, τις πληροφορίες που απαριθμούνται στο Παράρτημα ΙΙΙ</w:t>
            </w:r>
            <w:r w:rsidR="009A1836" w:rsidRPr="000B7CAF">
              <w:rPr>
                <w:rFonts w:ascii="Arial" w:hAnsi="Arial" w:cs="Arial"/>
                <w:sz w:val="24"/>
                <w:szCs w:val="24"/>
                <w:highlight w:val="yellow"/>
                <w:lang w:val="el-GR"/>
              </w:rPr>
              <w:t>.</w:t>
            </w:r>
            <w:r w:rsidR="007D5B8C" w:rsidRPr="000B7CAF">
              <w:rPr>
                <w:rFonts w:ascii="Arial" w:hAnsi="Arial" w:cs="Arial"/>
                <w:sz w:val="24"/>
                <w:szCs w:val="24"/>
                <w:highlight w:val="yellow"/>
                <w:lang w:val="el-GR"/>
              </w:rPr>
              <w:t xml:space="preserve"> </w:t>
            </w:r>
            <w:r w:rsidR="00A0410F" w:rsidRPr="000B7CAF">
              <w:rPr>
                <w:rFonts w:ascii="Arial" w:hAnsi="Arial" w:cs="Arial"/>
                <w:sz w:val="24"/>
                <w:szCs w:val="24"/>
                <w:lang w:val="el-GR"/>
              </w:rPr>
              <w:t>Η αρμόδια Αρχή</w:t>
            </w:r>
            <w:r w:rsidRPr="000B7CAF">
              <w:rPr>
                <w:rFonts w:ascii="Arial" w:hAnsi="Arial" w:cs="Arial"/>
                <w:sz w:val="24"/>
                <w:szCs w:val="24"/>
                <w:lang w:val="el-GR"/>
              </w:rPr>
              <w:t>, αφού εξετάσει τις υποβληθείσες πληροφορίες</w:t>
            </w:r>
            <w:r w:rsidR="009232FE" w:rsidRPr="000B7CAF">
              <w:rPr>
                <w:rFonts w:ascii="Arial" w:hAnsi="Arial" w:cs="Arial"/>
                <w:sz w:val="24"/>
                <w:szCs w:val="24"/>
                <w:lang w:val="el-GR"/>
              </w:rPr>
              <w:t xml:space="preserve"> </w:t>
            </w:r>
            <w:r w:rsidR="00A0410F" w:rsidRPr="000B7CAF">
              <w:rPr>
                <w:rFonts w:ascii="Arial" w:hAnsi="Arial" w:cs="Arial"/>
                <w:sz w:val="24"/>
                <w:szCs w:val="24"/>
                <w:highlight w:val="yellow"/>
                <w:lang w:val="el-GR"/>
              </w:rPr>
              <w:t xml:space="preserve">δύναται </w:t>
            </w:r>
            <w:r w:rsidRPr="000B7CAF">
              <w:rPr>
                <w:rFonts w:ascii="Arial" w:hAnsi="Arial" w:cs="Arial"/>
                <w:sz w:val="24"/>
                <w:szCs w:val="24"/>
                <w:lang w:val="el-GR"/>
              </w:rPr>
              <w:t xml:space="preserve">περαιτέρω </w:t>
            </w:r>
            <w:r w:rsidR="00A0410F" w:rsidRPr="000B7CAF">
              <w:rPr>
                <w:rFonts w:ascii="Arial" w:hAnsi="Arial" w:cs="Arial"/>
                <w:sz w:val="24"/>
                <w:szCs w:val="24"/>
                <w:highlight w:val="yellow"/>
                <w:lang w:val="el-GR"/>
              </w:rPr>
              <w:t>να ζητήσει</w:t>
            </w:r>
            <w:r w:rsidR="007D5B8C" w:rsidRPr="000B7CAF">
              <w:rPr>
                <w:rFonts w:ascii="Arial" w:hAnsi="Arial" w:cs="Arial"/>
                <w:sz w:val="24"/>
                <w:szCs w:val="24"/>
                <w:highlight w:val="yellow"/>
                <w:lang w:val="el-GR"/>
              </w:rPr>
              <w:t xml:space="preserve"> </w:t>
            </w:r>
            <w:r w:rsidRPr="000B7CAF">
              <w:rPr>
                <w:rFonts w:ascii="Arial" w:hAnsi="Arial" w:cs="Arial"/>
                <w:sz w:val="24"/>
                <w:szCs w:val="24"/>
                <w:highlight w:val="yellow"/>
                <w:lang w:val="el-GR"/>
              </w:rPr>
              <w:t>τις πληροφορίες που αναφέρονται στον Κανονισμό 11(2)</w:t>
            </w:r>
            <w:r w:rsidR="007D5B8C" w:rsidRPr="000B7CAF">
              <w:rPr>
                <w:rFonts w:ascii="Arial" w:hAnsi="Arial" w:cs="Arial"/>
                <w:sz w:val="24"/>
                <w:szCs w:val="24"/>
                <w:highlight w:val="yellow"/>
                <w:lang w:val="el-GR"/>
              </w:rPr>
              <w:t>.</w:t>
            </w:r>
          </w:p>
          <w:p w14:paraId="081C812E" w14:textId="77777777" w:rsidR="00BC02B7" w:rsidRPr="000B7CAF" w:rsidRDefault="00BC02B7" w:rsidP="007D5B8C">
            <w:pPr>
              <w:spacing w:line="360" w:lineRule="auto"/>
              <w:jc w:val="both"/>
              <w:rPr>
                <w:rFonts w:ascii="Arial" w:hAnsi="Arial" w:cs="Arial"/>
                <w:sz w:val="24"/>
                <w:szCs w:val="24"/>
                <w:highlight w:val="yellow"/>
                <w:lang w:val="el-GR"/>
              </w:rPr>
            </w:pPr>
          </w:p>
          <w:p w14:paraId="6DC64E8E" w14:textId="222D6F38" w:rsidR="007D5B8C" w:rsidRPr="000B7CAF" w:rsidRDefault="005834AF" w:rsidP="007D5B8C">
            <w:pPr>
              <w:spacing w:line="360" w:lineRule="auto"/>
              <w:jc w:val="both"/>
              <w:rPr>
                <w:rFonts w:ascii="Arial" w:hAnsi="Arial" w:cs="Arial"/>
                <w:sz w:val="24"/>
                <w:szCs w:val="24"/>
                <w:highlight w:val="yellow"/>
                <w:lang w:val="el-GR"/>
              </w:rPr>
            </w:pPr>
            <w:r w:rsidRPr="000B7CAF">
              <w:rPr>
                <w:rFonts w:ascii="Arial" w:hAnsi="Arial" w:cs="Arial"/>
                <w:sz w:val="24"/>
                <w:szCs w:val="24"/>
                <w:highlight w:val="yellow"/>
                <w:lang w:val="el-GR"/>
              </w:rPr>
              <w:t>(β)  σ</w:t>
            </w:r>
            <w:r w:rsidR="00530F2D" w:rsidRPr="000B7CAF">
              <w:rPr>
                <w:rFonts w:ascii="Arial" w:hAnsi="Arial" w:cs="Arial"/>
                <w:sz w:val="24"/>
                <w:szCs w:val="24"/>
                <w:highlight w:val="yellow"/>
                <w:lang w:val="el-GR"/>
              </w:rPr>
              <w:t xml:space="preserve">ε </w:t>
            </w:r>
            <w:r w:rsidR="00BC02B7" w:rsidRPr="000B7CAF">
              <w:rPr>
                <w:rFonts w:ascii="Arial" w:hAnsi="Arial" w:cs="Arial"/>
                <w:sz w:val="24"/>
                <w:szCs w:val="24"/>
                <w:highlight w:val="yellow"/>
                <w:lang w:val="el-GR"/>
              </w:rPr>
              <w:t xml:space="preserve">περίπτωση </w:t>
            </w:r>
            <w:r w:rsidR="00530F2D" w:rsidRPr="000B7CAF">
              <w:rPr>
                <w:rFonts w:ascii="Arial" w:hAnsi="Arial" w:cs="Arial"/>
                <w:sz w:val="24"/>
                <w:szCs w:val="24"/>
                <w:highlight w:val="yellow"/>
                <w:lang w:val="el-GR"/>
              </w:rPr>
              <w:t>έκρηξη</w:t>
            </w:r>
            <w:r w:rsidR="00BC02B7" w:rsidRPr="000B7CAF">
              <w:rPr>
                <w:rFonts w:ascii="Arial" w:hAnsi="Arial" w:cs="Arial"/>
                <w:sz w:val="24"/>
                <w:szCs w:val="24"/>
                <w:highlight w:val="yellow"/>
                <w:lang w:val="el-GR"/>
              </w:rPr>
              <w:t xml:space="preserve">ς, </w:t>
            </w:r>
            <w:r w:rsidR="00530F2D" w:rsidRPr="000B7CAF">
              <w:rPr>
                <w:rFonts w:ascii="Arial" w:hAnsi="Arial" w:cs="Arial"/>
                <w:sz w:val="24"/>
                <w:szCs w:val="24"/>
                <w:highlight w:val="yellow"/>
                <w:lang w:val="el-GR"/>
              </w:rPr>
              <w:t>πυρκαγιά</w:t>
            </w:r>
            <w:r w:rsidR="00BC02B7" w:rsidRPr="000B7CAF">
              <w:rPr>
                <w:rFonts w:ascii="Arial" w:hAnsi="Arial" w:cs="Arial"/>
                <w:sz w:val="24"/>
                <w:szCs w:val="24"/>
                <w:highlight w:val="yellow"/>
                <w:lang w:val="el-GR"/>
              </w:rPr>
              <w:t xml:space="preserve">ς </w:t>
            </w:r>
            <w:r w:rsidR="00530F2D" w:rsidRPr="000B7CAF">
              <w:rPr>
                <w:rFonts w:ascii="Arial" w:hAnsi="Arial" w:cs="Arial"/>
                <w:sz w:val="24"/>
                <w:szCs w:val="24"/>
                <w:highlight w:val="yellow"/>
                <w:lang w:val="el-GR"/>
              </w:rPr>
              <w:t>ή διαρροή</w:t>
            </w:r>
            <w:r w:rsidR="00BC02B7" w:rsidRPr="000B7CAF">
              <w:rPr>
                <w:rFonts w:ascii="Arial" w:hAnsi="Arial" w:cs="Arial"/>
                <w:sz w:val="24"/>
                <w:szCs w:val="24"/>
                <w:highlight w:val="yellow"/>
                <w:lang w:val="el-GR"/>
              </w:rPr>
              <w:t>ς</w:t>
            </w:r>
            <w:r w:rsidR="00530F2D" w:rsidRPr="000B7CAF">
              <w:rPr>
                <w:rFonts w:ascii="Arial" w:hAnsi="Arial" w:cs="Arial"/>
                <w:sz w:val="24"/>
                <w:szCs w:val="24"/>
                <w:highlight w:val="yellow"/>
                <w:lang w:val="el-GR"/>
              </w:rPr>
              <w:t xml:space="preserve"> </w:t>
            </w:r>
            <w:r w:rsidRPr="000B7CAF">
              <w:rPr>
                <w:rFonts w:ascii="Arial" w:hAnsi="Arial" w:cs="Arial"/>
                <w:sz w:val="24"/>
                <w:szCs w:val="24"/>
                <w:highlight w:val="yellow"/>
                <w:lang w:val="el-GR"/>
              </w:rPr>
              <w:t xml:space="preserve">επικίνδυνων </w:t>
            </w:r>
            <w:r w:rsidR="00BC02B7" w:rsidRPr="000B7CAF">
              <w:rPr>
                <w:rFonts w:ascii="Arial" w:hAnsi="Arial" w:cs="Arial"/>
                <w:sz w:val="24"/>
                <w:szCs w:val="24"/>
                <w:highlight w:val="yellow"/>
                <w:lang w:val="el-GR"/>
              </w:rPr>
              <w:t xml:space="preserve">χημικών </w:t>
            </w:r>
            <w:r w:rsidR="00530F2D" w:rsidRPr="000B7CAF">
              <w:rPr>
                <w:rFonts w:ascii="Arial" w:hAnsi="Arial" w:cs="Arial"/>
                <w:sz w:val="24"/>
                <w:szCs w:val="24"/>
                <w:highlight w:val="yellow"/>
                <w:lang w:val="el-GR"/>
              </w:rPr>
              <w:t xml:space="preserve">ουσιών ή </w:t>
            </w:r>
            <w:r w:rsidR="00BC02B7" w:rsidRPr="000B7CAF">
              <w:rPr>
                <w:rFonts w:ascii="Arial" w:hAnsi="Arial" w:cs="Arial"/>
                <w:sz w:val="24"/>
                <w:szCs w:val="24"/>
                <w:highlight w:val="yellow"/>
                <w:lang w:val="el-GR"/>
              </w:rPr>
              <w:t>μειγμάτων</w:t>
            </w:r>
            <w:r w:rsidR="00530F2D" w:rsidRPr="000B7CAF">
              <w:rPr>
                <w:rFonts w:ascii="Arial" w:hAnsi="Arial" w:cs="Arial"/>
                <w:sz w:val="24"/>
                <w:szCs w:val="24"/>
                <w:highlight w:val="yellow"/>
                <w:lang w:val="el-GR"/>
              </w:rPr>
              <w:t xml:space="preserve"> να ενημερώσει άμεσα το Επαρχιακό Γραφείο Επιθεώρησης Εργασίας </w:t>
            </w:r>
            <w:r w:rsidR="00BC02B7" w:rsidRPr="000B7CAF">
              <w:rPr>
                <w:rFonts w:ascii="Arial" w:hAnsi="Arial" w:cs="Arial"/>
                <w:sz w:val="24"/>
                <w:szCs w:val="24"/>
                <w:lang w:val="el-GR"/>
              </w:rPr>
              <w:t xml:space="preserve">όπως προβλέπεται </w:t>
            </w:r>
            <w:r w:rsidR="0028646C" w:rsidRPr="000B7CAF">
              <w:rPr>
                <w:rFonts w:ascii="Arial" w:hAnsi="Arial" w:cs="Arial"/>
                <w:sz w:val="24"/>
                <w:szCs w:val="24"/>
                <w:lang w:val="el-GR"/>
              </w:rPr>
              <w:t>στο</w:t>
            </w:r>
            <w:r w:rsidR="004054E2" w:rsidRPr="000B7CAF">
              <w:rPr>
                <w:rFonts w:ascii="Arial" w:hAnsi="Arial" w:cs="Arial"/>
                <w:sz w:val="24"/>
                <w:szCs w:val="24"/>
                <w:lang w:val="el-GR"/>
              </w:rPr>
              <w:t xml:space="preserve">ν Κανονισμό 5 των </w:t>
            </w:r>
            <w:r w:rsidR="0028646C" w:rsidRPr="000B7CAF">
              <w:rPr>
                <w:rFonts w:ascii="Arial" w:hAnsi="Arial" w:cs="Arial"/>
                <w:sz w:val="24"/>
                <w:szCs w:val="24"/>
                <w:lang w:val="el-GR"/>
              </w:rPr>
              <w:t>περί Ασφάλειας και Υγείας στην Εργασία (Γνωστοποίηση Ατυχημάτων και Ε</w:t>
            </w:r>
            <w:r w:rsidR="004054E2" w:rsidRPr="000B7CAF">
              <w:rPr>
                <w:rFonts w:ascii="Arial" w:hAnsi="Arial" w:cs="Arial"/>
                <w:sz w:val="24"/>
                <w:szCs w:val="24"/>
                <w:lang w:val="el-GR"/>
              </w:rPr>
              <w:t>πικίνδυνων Συμβάντων) Κανονισμών</w:t>
            </w:r>
            <w:r w:rsidR="0028646C" w:rsidRPr="000B7CAF">
              <w:rPr>
                <w:rFonts w:ascii="Arial" w:hAnsi="Arial" w:cs="Arial"/>
                <w:sz w:val="24"/>
                <w:szCs w:val="24"/>
                <w:lang w:val="el-GR"/>
              </w:rPr>
              <w:t xml:space="preserve"> του 2007 και 2017</w:t>
            </w:r>
            <w:r w:rsidR="00530F2D" w:rsidRPr="000B7CAF">
              <w:rPr>
                <w:rFonts w:ascii="Arial" w:hAnsi="Arial" w:cs="Arial"/>
                <w:sz w:val="24"/>
                <w:szCs w:val="24"/>
                <w:lang w:val="el-GR"/>
              </w:rPr>
              <w:t xml:space="preserve"> </w:t>
            </w:r>
            <w:r w:rsidR="00530F2D" w:rsidRPr="000B7CAF">
              <w:rPr>
                <w:rFonts w:ascii="Arial" w:hAnsi="Arial" w:cs="Arial"/>
                <w:sz w:val="24"/>
                <w:szCs w:val="24"/>
                <w:highlight w:val="yellow"/>
                <w:lang w:val="el-GR"/>
              </w:rPr>
              <w:t>καθώς επίσης τον διαχειριστή της εφαπτόμενης Μονάδας</w:t>
            </w:r>
            <w:r w:rsidR="00B258E9" w:rsidRPr="000B7CAF">
              <w:rPr>
                <w:rFonts w:ascii="Arial" w:hAnsi="Arial" w:cs="Arial"/>
                <w:sz w:val="24"/>
                <w:szCs w:val="24"/>
                <w:highlight w:val="yellow"/>
                <w:lang w:val="el-GR"/>
              </w:rPr>
              <w:t xml:space="preserve"> και την Πυροσβεστική Υπηρεσία</w:t>
            </w:r>
            <w:r w:rsidR="0059308F" w:rsidRPr="000B7CAF">
              <w:rPr>
                <w:rFonts w:ascii="Arial" w:hAnsi="Arial" w:cs="Arial"/>
                <w:sz w:val="24"/>
                <w:szCs w:val="24"/>
                <w:highlight w:val="yellow"/>
                <w:lang w:val="el-GR"/>
              </w:rPr>
              <w:t xml:space="preserve"> Κύπρου</w:t>
            </w:r>
            <w:r w:rsidR="00530F2D" w:rsidRPr="000B7CAF">
              <w:rPr>
                <w:rFonts w:ascii="Arial" w:hAnsi="Arial" w:cs="Arial"/>
                <w:sz w:val="24"/>
                <w:szCs w:val="24"/>
                <w:highlight w:val="yellow"/>
                <w:lang w:val="el-GR"/>
              </w:rPr>
              <w:t>.</w:t>
            </w:r>
          </w:p>
          <w:p w14:paraId="77CB2BBE" w14:textId="77777777" w:rsidR="00BC02B7" w:rsidRPr="000B7CAF" w:rsidRDefault="00BC02B7" w:rsidP="007D5B8C">
            <w:pPr>
              <w:spacing w:line="360" w:lineRule="auto"/>
              <w:jc w:val="both"/>
              <w:rPr>
                <w:rFonts w:ascii="Arial" w:hAnsi="Arial" w:cs="Arial"/>
                <w:sz w:val="24"/>
                <w:szCs w:val="24"/>
                <w:highlight w:val="yellow"/>
                <w:lang w:val="el-GR"/>
              </w:rPr>
            </w:pPr>
          </w:p>
          <w:p w14:paraId="6B0D7422" w14:textId="668CA13F" w:rsidR="007D5B8C" w:rsidRPr="000B7CAF" w:rsidRDefault="00BC02B7" w:rsidP="005834AF">
            <w:pPr>
              <w:spacing w:line="360" w:lineRule="auto"/>
              <w:jc w:val="both"/>
              <w:rPr>
                <w:rFonts w:ascii="Arial" w:hAnsi="Arial" w:cs="Arial"/>
                <w:sz w:val="24"/>
                <w:szCs w:val="24"/>
                <w:highlight w:val="yellow"/>
                <w:lang w:val="el-GR"/>
              </w:rPr>
            </w:pPr>
            <w:r w:rsidRPr="000B7CAF">
              <w:rPr>
                <w:rFonts w:ascii="Arial" w:hAnsi="Arial" w:cs="Arial"/>
                <w:sz w:val="24"/>
                <w:szCs w:val="24"/>
                <w:highlight w:val="yellow"/>
                <w:lang w:val="el-GR"/>
              </w:rPr>
              <w:lastRenderedPageBreak/>
              <w:t>(</w:t>
            </w:r>
            <w:r w:rsidR="002C5CC1" w:rsidRPr="000B7CAF">
              <w:rPr>
                <w:rFonts w:ascii="Arial" w:hAnsi="Arial" w:cs="Arial"/>
                <w:sz w:val="24"/>
                <w:szCs w:val="24"/>
                <w:highlight w:val="yellow"/>
                <w:lang w:val="el-GR"/>
              </w:rPr>
              <w:t>3</w:t>
            </w:r>
            <w:r w:rsidR="007D5B8C" w:rsidRPr="000B7CAF">
              <w:rPr>
                <w:rFonts w:ascii="Arial" w:hAnsi="Arial" w:cs="Arial"/>
                <w:sz w:val="24"/>
                <w:szCs w:val="24"/>
                <w:highlight w:val="yellow"/>
                <w:lang w:val="el-GR"/>
              </w:rPr>
              <w:t xml:space="preserve">)  Οι </w:t>
            </w:r>
            <w:r w:rsidR="005834AF" w:rsidRPr="000B7CAF">
              <w:rPr>
                <w:rFonts w:ascii="Arial" w:hAnsi="Arial" w:cs="Arial"/>
                <w:sz w:val="24"/>
                <w:szCs w:val="24"/>
                <w:highlight w:val="yellow"/>
                <w:lang w:val="el-GR"/>
              </w:rPr>
              <w:t xml:space="preserve">εργοδότες που εμπίπτουν στις πρόνοιες </w:t>
            </w:r>
            <w:r w:rsidR="005834AF" w:rsidRPr="000B7CAF">
              <w:rPr>
                <w:rFonts w:ascii="Arial" w:hAnsi="Arial" w:cs="Arial"/>
                <w:sz w:val="24"/>
                <w:szCs w:val="24"/>
                <w:lang w:val="el-GR"/>
              </w:rPr>
              <w:t xml:space="preserve">των </w:t>
            </w:r>
            <w:r w:rsidR="007D5B8C" w:rsidRPr="000B7CAF">
              <w:rPr>
                <w:rFonts w:ascii="Arial" w:hAnsi="Arial" w:cs="Arial"/>
                <w:sz w:val="24"/>
                <w:szCs w:val="24"/>
                <w:lang w:val="el-GR"/>
              </w:rPr>
              <w:t>Κανονισμ</w:t>
            </w:r>
            <w:r w:rsidR="005834AF" w:rsidRPr="000B7CAF">
              <w:rPr>
                <w:rFonts w:ascii="Arial" w:hAnsi="Arial" w:cs="Arial"/>
                <w:sz w:val="24"/>
                <w:szCs w:val="24"/>
                <w:lang w:val="el-GR"/>
              </w:rPr>
              <w:t>ών</w:t>
            </w:r>
            <w:r w:rsidR="007D5B8C" w:rsidRPr="000B7CAF">
              <w:rPr>
                <w:rFonts w:ascii="Arial" w:hAnsi="Arial" w:cs="Arial"/>
                <w:sz w:val="24"/>
                <w:szCs w:val="24"/>
                <w:lang w:val="el-GR"/>
              </w:rPr>
              <w:t xml:space="preserve"> 11Α.-(1)</w:t>
            </w:r>
            <w:r w:rsidR="00DB35FE" w:rsidRPr="000B7CAF">
              <w:rPr>
                <w:rFonts w:ascii="Arial" w:hAnsi="Arial" w:cs="Arial"/>
                <w:sz w:val="24"/>
                <w:szCs w:val="24"/>
                <w:lang w:val="el-GR"/>
              </w:rPr>
              <w:t xml:space="preserve"> </w:t>
            </w:r>
            <w:r w:rsidR="007D5B8C" w:rsidRPr="000B7CAF">
              <w:rPr>
                <w:rFonts w:ascii="Arial" w:hAnsi="Arial" w:cs="Arial"/>
                <w:sz w:val="24"/>
                <w:szCs w:val="24"/>
                <w:lang w:val="el-GR"/>
              </w:rPr>
              <w:t xml:space="preserve">και 11Α.-(2) </w:t>
            </w:r>
            <w:r w:rsidR="007D5B8C" w:rsidRPr="000B7CAF">
              <w:rPr>
                <w:rFonts w:ascii="Arial" w:hAnsi="Arial" w:cs="Arial"/>
                <w:sz w:val="24"/>
                <w:szCs w:val="24"/>
                <w:highlight w:val="yellow"/>
                <w:lang w:val="el-GR"/>
              </w:rPr>
              <w:t xml:space="preserve">υποβάλλουν </w:t>
            </w:r>
            <w:r w:rsidR="005834AF" w:rsidRPr="000B7CAF">
              <w:rPr>
                <w:rFonts w:ascii="Arial" w:hAnsi="Arial" w:cs="Arial"/>
                <w:sz w:val="24"/>
                <w:szCs w:val="24"/>
                <w:highlight w:val="yellow"/>
                <w:lang w:val="el-GR"/>
              </w:rPr>
              <w:t>στην αρμόδια Αρχή</w:t>
            </w:r>
            <w:r w:rsidR="007D5B8C" w:rsidRPr="000B7CAF">
              <w:rPr>
                <w:rFonts w:ascii="Arial" w:hAnsi="Arial" w:cs="Arial"/>
                <w:sz w:val="24"/>
                <w:szCs w:val="24"/>
                <w:highlight w:val="yellow"/>
                <w:lang w:val="el-GR"/>
              </w:rPr>
              <w:t xml:space="preserve"> κάθε 2 έτη</w:t>
            </w:r>
            <w:r w:rsidR="0059308F" w:rsidRPr="000B7CAF">
              <w:rPr>
                <w:rFonts w:ascii="Arial" w:hAnsi="Arial" w:cs="Arial"/>
                <w:sz w:val="24"/>
                <w:szCs w:val="24"/>
                <w:highlight w:val="yellow"/>
                <w:lang w:val="el-GR"/>
              </w:rPr>
              <w:t>,</w:t>
            </w:r>
            <w:r w:rsidR="007D5B8C" w:rsidRPr="000B7CAF">
              <w:rPr>
                <w:rFonts w:ascii="Arial" w:hAnsi="Arial" w:cs="Arial"/>
                <w:sz w:val="24"/>
                <w:szCs w:val="24"/>
                <w:highlight w:val="yellow"/>
                <w:lang w:val="el-GR"/>
              </w:rPr>
              <w:t xml:space="preserve"> Πιστοποιητικό </w:t>
            </w:r>
            <w:r w:rsidR="00BA68CE" w:rsidRPr="000B7CAF">
              <w:rPr>
                <w:rFonts w:ascii="Arial" w:hAnsi="Arial" w:cs="Arial"/>
                <w:sz w:val="24"/>
                <w:szCs w:val="24"/>
                <w:highlight w:val="yellow"/>
                <w:lang w:val="el-GR"/>
              </w:rPr>
              <w:t xml:space="preserve">Πυροπροστασίας </w:t>
            </w:r>
            <w:r w:rsidR="005B00BA" w:rsidRPr="000B7CAF">
              <w:rPr>
                <w:rFonts w:ascii="Arial" w:hAnsi="Arial" w:cs="Arial"/>
                <w:sz w:val="24"/>
                <w:szCs w:val="24"/>
                <w:highlight w:val="yellow"/>
                <w:lang w:val="el-GR"/>
              </w:rPr>
              <w:t>από την Πυροσβεστική Υπηρεσία</w:t>
            </w:r>
            <w:r w:rsidR="0059308F" w:rsidRPr="000B7CAF">
              <w:rPr>
                <w:rFonts w:ascii="Arial" w:hAnsi="Arial" w:cs="Arial"/>
                <w:sz w:val="24"/>
                <w:szCs w:val="24"/>
                <w:highlight w:val="yellow"/>
                <w:lang w:val="el-GR"/>
              </w:rPr>
              <w:t xml:space="preserve"> Κύπρου</w:t>
            </w:r>
            <w:r w:rsidR="005B00BA" w:rsidRPr="000B7CAF">
              <w:rPr>
                <w:rFonts w:ascii="Arial" w:hAnsi="Arial" w:cs="Arial"/>
                <w:sz w:val="24"/>
                <w:szCs w:val="24"/>
                <w:highlight w:val="yellow"/>
                <w:lang w:val="el-GR"/>
              </w:rPr>
              <w:t>.»</w:t>
            </w:r>
            <w:r w:rsidR="00B87671" w:rsidRPr="000B7CAF">
              <w:rPr>
                <w:rFonts w:ascii="Arial" w:hAnsi="Arial" w:cs="Arial"/>
                <w:sz w:val="24"/>
                <w:szCs w:val="24"/>
                <w:highlight w:val="yellow"/>
                <w:lang w:val="el-GR"/>
              </w:rPr>
              <w:t xml:space="preserve"> </w:t>
            </w:r>
          </w:p>
        </w:tc>
      </w:tr>
      <w:tr w:rsidR="004E1DB2" w:rsidRPr="000B7CAF" w14:paraId="4A003E71" w14:textId="77777777" w:rsidTr="00BC02B7">
        <w:tc>
          <w:tcPr>
            <w:tcW w:w="1738" w:type="dxa"/>
          </w:tcPr>
          <w:p w14:paraId="65BEDEC6" w14:textId="293A3ECA" w:rsidR="007C02AB" w:rsidRPr="00BC02B7" w:rsidRDefault="007C02AB" w:rsidP="00876861">
            <w:pPr>
              <w:rPr>
                <w:rFonts w:ascii="Arial" w:hAnsi="Arial" w:cs="Arial"/>
                <w:sz w:val="20"/>
                <w:szCs w:val="20"/>
                <w:highlight w:val="yellow"/>
                <w:lang w:val="el-GR"/>
              </w:rPr>
            </w:pPr>
          </w:p>
        </w:tc>
        <w:tc>
          <w:tcPr>
            <w:tcW w:w="7288" w:type="dxa"/>
            <w:gridSpan w:val="2"/>
          </w:tcPr>
          <w:p w14:paraId="38D7CDD5" w14:textId="77777777" w:rsidR="007C02AB" w:rsidRPr="000B7CAF" w:rsidRDefault="007C02AB" w:rsidP="00876861">
            <w:pPr>
              <w:spacing w:line="360" w:lineRule="auto"/>
              <w:jc w:val="both"/>
              <w:rPr>
                <w:rFonts w:ascii="Arial" w:hAnsi="Arial" w:cs="Arial"/>
                <w:sz w:val="24"/>
                <w:szCs w:val="24"/>
                <w:highlight w:val="yellow"/>
                <w:lang w:val="el-GR"/>
              </w:rPr>
            </w:pPr>
          </w:p>
        </w:tc>
      </w:tr>
      <w:tr w:rsidR="004E1DB2" w:rsidRPr="000B7CAF" w14:paraId="49EE6E6D" w14:textId="77777777" w:rsidTr="00BC02B7">
        <w:tc>
          <w:tcPr>
            <w:tcW w:w="1738" w:type="dxa"/>
          </w:tcPr>
          <w:p w14:paraId="54A52E4C" w14:textId="47FCE45A" w:rsidR="00876861" w:rsidRPr="000B7CAF" w:rsidRDefault="00342E61" w:rsidP="00876861">
            <w:pPr>
              <w:rPr>
                <w:rFonts w:ascii="Arial" w:hAnsi="Arial" w:cs="Arial"/>
                <w:sz w:val="20"/>
                <w:szCs w:val="20"/>
                <w:lang w:val="el-GR"/>
              </w:rPr>
            </w:pPr>
            <w:r w:rsidRPr="000B7CAF">
              <w:rPr>
                <w:rFonts w:ascii="Arial" w:hAnsi="Arial" w:cs="Arial"/>
                <w:sz w:val="20"/>
                <w:szCs w:val="20"/>
                <w:lang w:val="el-GR"/>
              </w:rPr>
              <w:t>Έναρξη ισχύος.</w:t>
            </w:r>
          </w:p>
        </w:tc>
        <w:tc>
          <w:tcPr>
            <w:tcW w:w="7288" w:type="dxa"/>
            <w:gridSpan w:val="2"/>
          </w:tcPr>
          <w:p w14:paraId="5FEE097A" w14:textId="5A850F7C" w:rsidR="00876861" w:rsidRPr="000B7CAF" w:rsidRDefault="00876861" w:rsidP="00446774">
            <w:pPr>
              <w:spacing w:line="360" w:lineRule="auto"/>
              <w:jc w:val="both"/>
              <w:rPr>
                <w:rFonts w:ascii="Arial" w:hAnsi="Arial" w:cs="Arial"/>
                <w:sz w:val="24"/>
                <w:szCs w:val="24"/>
                <w:lang w:val="el-GR"/>
              </w:rPr>
            </w:pPr>
            <w:r w:rsidRPr="000B7CAF">
              <w:rPr>
                <w:rFonts w:ascii="Arial" w:hAnsi="Arial" w:cs="Arial"/>
                <w:sz w:val="24"/>
                <w:szCs w:val="24"/>
                <w:lang w:val="el-GR"/>
              </w:rPr>
              <w:t xml:space="preserve"> </w:t>
            </w:r>
            <w:r w:rsidR="002C5CC1" w:rsidRPr="000B7CAF">
              <w:rPr>
                <w:rFonts w:ascii="Arial" w:hAnsi="Arial" w:cs="Arial"/>
                <w:sz w:val="24"/>
                <w:szCs w:val="24"/>
                <w:lang w:val="el-GR"/>
              </w:rPr>
              <w:t>3</w:t>
            </w:r>
            <w:r w:rsidR="00342E61" w:rsidRPr="000B7CAF">
              <w:rPr>
                <w:rFonts w:ascii="Arial" w:hAnsi="Arial" w:cs="Arial"/>
                <w:sz w:val="24"/>
                <w:szCs w:val="24"/>
                <w:lang w:val="el-GR"/>
              </w:rPr>
              <w:t>. Οι παρόντες</w:t>
            </w:r>
            <w:r w:rsidR="00446774" w:rsidRPr="000B7CAF">
              <w:rPr>
                <w:rFonts w:ascii="Arial" w:hAnsi="Arial" w:cs="Arial"/>
                <w:sz w:val="24"/>
                <w:szCs w:val="24"/>
                <w:lang w:val="el-GR"/>
              </w:rPr>
              <w:t xml:space="preserve"> κ</w:t>
            </w:r>
            <w:r w:rsidR="001C7BC0" w:rsidRPr="000B7CAF">
              <w:rPr>
                <w:rFonts w:ascii="Arial" w:hAnsi="Arial" w:cs="Arial"/>
                <w:sz w:val="24"/>
                <w:szCs w:val="24"/>
                <w:lang w:val="el-GR"/>
              </w:rPr>
              <w:t xml:space="preserve">ανονισμοί </w:t>
            </w:r>
            <w:r w:rsidR="00342E61" w:rsidRPr="000B7CAF">
              <w:rPr>
                <w:rFonts w:ascii="Arial" w:hAnsi="Arial" w:cs="Arial"/>
                <w:sz w:val="24"/>
                <w:szCs w:val="24"/>
                <w:lang w:val="el-GR"/>
              </w:rPr>
              <w:t>τίθενται σε ισχύ την ημερομηνία δημοσίευσής τους στην Επίσημη Εφημερίδα της Δημοκρατίας.</w:t>
            </w:r>
            <w:r w:rsidR="004311E1" w:rsidRPr="000B7CAF">
              <w:rPr>
                <w:rFonts w:ascii="Arial" w:hAnsi="Arial" w:cs="Arial"/>
                <w:sz w:val="24"/>
                <w:szCs w:val="24"/>
                <w:lang w:val="el-GR"/>
              </w:rPr>
              <w:t xml:space="preserve">  </w:t>
            </w:r>
            <w:r w:rsidR="001C7BC0" w:rsidRPr="000B7CAF">
              <w:rPr>
                <w:rFonts w:ascii="Arial" w:hAnsi="Arial" w:cs="Arial"/>
                <w:sz w:val="24"/>
                <w:szCs w:val="24"/>
                <w:highlight w:val="yellow"/>
                <w:lang w:val="el-GR"/>
              </w:rPr>
              <w:t>Για εγκαταστάσεις που λειτουργούσαν ή είχαν εξασφαλίσει Άδεια Οικοδομής ή Πολεοδομική Άδεια πριν την ημερομηνία δημοσίευσής των Κανονισμών τίθε</w:t>
            </w:r>
            <w:r w:rsidR="002C5CC1" w:rsidRPr="000B7CAF">
              <w:rPr>
                <w:rFonts w:ascii="Arial" w:hAnsi="Arial" w:cs="Arial"/>
                <w:sz w:val="24"/>
                <w:szCs w:val="24"/>
                <w:highlight w:val="yellow"/>
                <w:lang w:val="el-GR"/>
              </w:rPr>
              <w:t>ν</w:t>
            </w:r>
            <w:r w:rsidR="001C7BC0" w:rsidRPr="000B7CAF">
              <w:rPr>
                <w:rFonts w:ascii="Arial" w:hAnsi="Arial" w:cs="Arial"/>
                <w:sz w:val="24"/>
                <w:szCs w:val="24"/>
                <w:highlight w:val="yellow"/>
                <w:lang w:val="el-GR"/>
              </w:rPr>
              <w:t>ται σε ισχύ 2 έτη μετά</w:t>
            </w:r>
            <w:r w:rsidR="001C7BC0" w:rsidRPr="000B7CAF">
              <w:rPr>
                <w:rFonts w:ascii="Arial" w:hAnsi="Arial" w:cs="Arial"/>
                <w:sz w:val="24"/>
                <w:szCs w:val="24"/>
                <w:lang w:val="el-GR"/>
              </w:rPr>
              <w:t>.</w:t>
            </w:r>
          </w:p>
        </w:tc>
      </w:tr>
      <w:tr w:rsidR="004E1DB2" w:rsidRPr="000B7CAF" w14:paraId="3B22AB12" w14:textId="77777777" w:rsidTr="00BC02B7">
        <w:tc>
          <w:tcPr>
            <w:tcW w:w="1738" w:type="dxa"/>
          </w:tcPr>
          <w:p w14:paraId="5B0F3505" w14:textId="77777777" w:rsidR="00876861" w:rsidRPr="00BC02B7" w:rsidRDefault="00876861" w:rsidP="00876861">
            <w:pPr>
              <w:rPr>
                <w:rFonts w:ascii="Arial" w:hAnsi="Arial" w:cs="Arial"/>
                <w:sz w:val="20"/>
                <w:szCs w:val="20"/>
                <w:highlight w:val="yellow"/>
                <w:lang w:val="el-GR"/>
              </w:rPr>
            </w:pPr>
          </w:p>
        </w:tc>
        <w:tc>
          <w:tcPr>
            <w:tcW w:w="7288" w:type="dxa"/>
            <w:gridSpan w:val="2"/>
          </w:tcPr>
          <w:p w14:paraId="7171F075" w14:textId="77777777" w:rsidR="00876861" w:rsidRPr="00BC02B7" w:rsidRDefault="00876861" w:rsidP="00876861">
            <w:pPr>
              <w:spacing w:line="360" w:lineRule="auto"/>
              <w:jc w:val="both"/>
              <w:rPr>
                <w:rFonts w:ascii="Arial" w:hAnsi="Arial" w:cs="Arial"/>
                <w:sz w:val="24"/>
                <w:szCs w:val="24"/>
                <w:lang w:val="el-GR"/>
              </w:rPr>
            </w:pPr>
          </w:p>
        </w:tc>
      </w:tr>
      <w:tr w:rsidR="004B0848" w:rsidRPr="000B7CAF" w14:paraId="677F348B" w14:textId="77777777" w:rsidTr="00BC02B7">
        <w:tc>
          <w:tcPr>
            <w:tcW w:w="1738" w:type="dxa"/>
          </w:tcPr>
          <w:p w14:paraId="49EC70F1" w14:textId="77777777" w:rsidR="004B0848" w:rsidRPr="00BC02B7" w:rsidRDefault="004B0848" w:rsidP="00876861">
            <w:pPr>
              <w:rPr>
                <w:rFonts w:ascii="Arial" w:hAnsi="Arial" w:cs="Arial"/>
                <w:sz w:val="20"/>
                <w:szCs w:val="20"/>
                <w:highlight w:val="yellow"/>
                <w:lang w:val="el-GR"/>
              </w:rPr>
            </w:pPr>
          </w:p>
        </w:tc>
        <w:tc>
          <w:tcPr>
            <w:tcW w:w="7288" w:type="dxa"/>
            <w:gridSpan w:val="2"/>
          </w:tcPr>
          <w:p w14:paraId="0EB5976F" w14:textId="74E03F4A" w:rsidR="004B0848" w:rsidRPr="00BC02B7" w:rsidRDefault="004B0848" w:rsidP="00876861">
            <w:pPr>
              <w:spacing w:line="360" w:lineRule="auto"/>
              <w:jc w:val="both"/>
              <w:rPr>
                <w:rFonts w:ascii="Arial" w:hAnsi="Arial" w:cs="Arial"/>
                <w:sz w:val="24"/>
                <w:szCs w:val="24"/>
                <w:lang w:val="el-GR"/>
              </w:rPr>
            </w:pPr>
          </w:p>
        </w:tc>
      </w:tr>
    </w:tbl>
    <w:p w14:paraId="5B585AD9" w14:textId="77777777" w:rsidR="00BE1872" w:rsidRPr="00094E40" w:rsidRDefault="00BE1872">
      <w:pPr>
        <w:rPr>
          <w:lang w:val="el-GR"/>
        </w:rPr>
      </w:pPr>
    </w:p>
    <w:sectPr w:rsidR="00BE1872" w:rsidRPr="00094E40" w:rsidSect="00530F2D">
      <w:headerReference w:type="default" r:id="rId6"/>
      <w:footerReference w:type="first" r:id="rId7"/>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B3FE" w14:textId="77777777" w:rsidR="00435BF6" w:rsidRDefault="00435BF6" w:rsidP="00342E61">
      <w:pPr>
        <w:spacing w:after="0" w:line="240" w:lineRule="auto"/>
      </w:pPr>
      <w:r>
        <w:separator/>
      </w:r>
    </w:p>
  </w:endnote>
  <w:endnote w:type="continuationSeparator" w:id="0">
    <w:p w14:paraId="685B95EE" w14:textId="77777777" w:rsidR="00435BF6" w:rsidRDefault="00435BF6" w:rsidP="0034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601C" w14:textId="323B4C5A" w:rsidR="00530F2D" w:rsidRPr="00530F2D" w:rsidRDefault="00530F2D" w:rsidP="00530F2D">
    <w:pPr>
      <w:pStyle w:val="Footer"/>
      <w:jc w:val="right"/>
      <w:rPr>
        <w:rFonts w:ascii="Arial" w:hAnsi="Arial" w:cs="Arial"/>
        <w:sz w:val="18"/>
        <w:szCs w:val="18"/>
      </w:rPr>
    </w:pPr>
    <w:r w:rsidRPr="00530F2D">
      <w:rPr>
        <w:rFonts w:ascii="Arial" w:hAnsi="Arial" w:cs="Arial"/>
        <w:sz w:val="18"/>
        <w:szCs w:val="18"/>
      </w:rPr>
      <w:fldChar w:fldCharType="begin"/>
    </w:r>
    <w:r w:rsidRPr="00530F2D">
      <w:rPr>
        <w:rFonts w:ascii="Arial" w:hAnsi="Arial" w:cs="Arial"/>
        <w:sz w:val="18"/>
        <w:szCs w:val="18"/>
      </w:rPr>
      <w:instrText xml:space="preserve"> FILENAME  \p  \* MERGEFORMAT </w:instrText>
    </w:r>
    <w:r w:rsidRPr="00530F2D">
      <w:rPr>
        <w:rFonts w:ascii="Arial" w:hAnsi="Arial" w:cs="Arial"/>
        <w:sz w:val="18"/>
        <w:szCs w:val="18"/>
      </w:rPr>
      <w:fldChar w:fldCharType="separate"/>
    </w:r>
    <w:r w:rsidR="00366BDD">
      <w:rPr>
        <w:rFonts w:ascii="Arial" w:hAnsi="Arial" w:cs="Arial"/>
        <w:noProof/>
        <w:sz w:val="18"/>
        <w:szCs w:val="18"/>
      </w:rPr>
      <w:t>N:\TAY\ΚΧΠΑΥ\Legislation\Tropop. Seveso\2023\20230821-Trop Kanonismon Seveso-new -2.docx</w:t>
    </w:r>
    <w:r w:rsidRPr="00530F2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32CC8" w14:textId="77777777" w:rsidR="00435BF6" w:rsidRDefault="00435BF6" w:rsidP="00342E61">
      <w:pPr>
        <w:spacing w:after="0" w:line="240" w:lineRule="auto"/>
      </w:pPr>
      <w:r>
        <w:separator/>
      </w:r>
    </w:p>
  </w:footnote>
  <w:footnote w:type="continuationSeparator" w:id="0">
    <w:p w14:paraId="2313CAC4" w14:textId="77777777" w:rsidR="00435BF6" w:rsidRDefault="00435BF6" w:rsidP="0034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638474"/>
      <w:docPartObj>
        <w:docPartGallery w:val="Page Numbers (Top of Page)"/>
        <w:docPartUnique/>
      </w:docPartObj>
    </w:sdtPr>
    <w:sdtEndPr>
      <w:rPr>
        <w:noProof/>
      </w:rPr>
    </w:sdtEndPr>
    <w:sdtContent>
      <w:p w14:paraId="04FF6CBD" w14:textId="23A66492" w:rsidR="00342E61" w:rsidRDefault="00342E61">
        <w:pPr>
          <w:pStyle w:val="Header"/>
          <w:jc w:val="right"/>
        </w:pPr>
        <w:r>
          <w:fldChar w:fldCharType="begin"/>
        </w:r>
        <w:r>
          <w:instrText xml:space="preserve"> PAGE   \* MERGEFORMAT </w:instrText>
        </w:r>
        <w:r>
          <w:fldChar w:fldCharType="separate"/>
        </w:r>
        <w:r w:rsidR="00366BDD">
          <w:rPr>
            <w:noProof/>
          </w:rPr>
          <w:t>3</w:t>
        </w:r>
        <w:r>
          <w:rPr>
            <w:noProof/>
          </w:rPr>
          <w:fldChar w:fldCharType="end"/>
        </w:r>
      </w:p>
    </w:sdtContent>
  </w:sdt>
  <w:p w14:paraId="7DC94306" w14:textId="77777777" w:rsidR="00342E61" w:rsidRDefault="00342E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861"/>
    <w:rsid w:val="00094E40"/>
    <w:rsid w:val="000A428C"/>
    <w:rsid w:val="000B7CAF"/>
    <w:rsid w:val="001807D6"/>
    <w:rsid w:val="00184F6B"/>
    <w:rsid w:val="001C7BC0"/>
    <w:rsid w:val="001D6496"/>
    <w:rsid w:val="00232B55"/>
    <w:rsid w:val="00233EC5"/>
    <w:rsid w:val="00236CBE"/>
    <w:rsid w:val="00265ACB"/>
    <w:rsid w:val="00271E74"/>
    <w:rsid w:val="0028646C"/>
    <w:rsid w:val="00291337"/>
    <w:rsid w:val="002C5CC1"/>
    <w:rsid w:val="00342E61"/>
    <w:rsid w:val="00366BDD"/>
    <w:rsid w:val="004054E2"/>
    <w:rsid w:val="004311E1"/>
    <w:rsid w:val="00435BF6"/>
    <w:rsid w:val="00446774"/>
    <w:rsid w:val="004B0848"/>
    <w:rsid w:val="004E1DB2"/>
    <w:rsid w:val="005002F4"/>
    <w:rsid w:val="00530F2D"/>
    <w:rsid w:val="005834AF"/>
    <w:rsid w:val="0059308F"/>
    <w:rsid w:val="005B00BA"/>
    <w:rsid w:val="00623656"/>
    <w:rsid w:val="00643FE2"/>
    <w:rsid w:val="006F0610"/>
    <w:rsid w:val="00723978"/>
    <w:rsid w:val="00771D72"/>
    <w:rsid w:val="007C02AB"/>
    <w:rsid w:val="007C5BA3"/>
    <w:rsid w:val="007D5B8C"/>
    <w:rsid w:val="00876861"/>
    <w:rsid w:val="009232FE"/>
    <w:rsid w:val="009541BC"/>
    <w:rsid w:val="009923B7"/>
    <w:rsid w:val="009A1836"/>
    <w:rsid w:val="009D4C16"/>
    <w:rsid w:val="00A036E2"/>
    <w:rsid w:val="00A0410F"/>
    <w:rsid w:val="00A34BCF"/>
    <w:rsid w:val="00A34F17"/>
    <w:rsid w:val="00A9263A"/>
    <w:rsid w:val="00B0410F"/>
    <w:rsid w:val="00B258E9"/>
    <w:rsid w:val="00B87671"/>
    <w:rsid w:val="00BA68CE"/>
    <w:rsid w:val="00BC02B7"/>
    <w:rsid w:val="00BE1872"/>
    <w:rsid w:val="00CE14E1"/>
    <w:rsid w:val="00D5180E"/>
    <w:rsid w:val="00D81FD8"/>
    <w:rsid w:val="00DB35FE"/>
    <w:rsid w:val="00E317F3"/>
    <w:rsid w:val="00E603FB"/>
    <w:rsid w:val="00E82751"/>
    <w:rsid w:val="00EF7B1D"/>
    <w:rsid w:val="00F2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D409"/>
  <w15:chartTrackingRefBased/>
  <w15:docId w15:val="{04376653-3715-4ABB-9C26-0245EB21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7686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876861"/>
    <w:rPr>
      <w:rFonts w:ascii="Arial" w:eastAsia="Times New Roman" w:hAnsi="Arial" w:cs="Times New Roman"/>
      <w:sz w:val="20"/>
      <w:szCs w:val="20"/>
      <w:lang w:val="en-US"/>
    </w:rPr>
  </w:style>
  <w:style w:type="paragraph" w:styleId="Header">
    <w:name w:val="header"/>
    <w:basedOn w:val="Normal"/>
    <w:link w:val="HeaderChar"/>
    <w:uiPriority w:val="99"/>
    <w:unhideWhenUsed/>
    <w:rsid w:val="00342E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2E61"/>
  </w:style>
  <w:style w:type="paragraph" w:styleId="Footer">
    <w:name w:val="footer"/>
    <w:basedOn w:val="Normal"/>
    <w:link w:val="FooterChar"/>
    <w:uiPriority w:val="99"/>
    <w:unhideWhenUsed/>
    <w:rsid w:val="00342E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2E61"/>
  </w:style>
  <w:style w:type="paragraph" w:styleId="BalloonText">
    <w:name w:val="Balloon Text"/>
    <w:basedOn w:val="Normal"/>
    <w:link w:val="BalloonTextChar"/>
    <w:uiPriority w:val="99"/>
    <w:semiHidden/>
    <w:unhideWhenUsed/>
    <w:rsid w:val="00B87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Hadjigeorgiou  Maria</dc:creator>
  <cp:keywords/>
  <dc:description/>
  <cp:lastModifiedBy>Polyvios Polyviou</cp:lastModifiedBy>
  <cp:revision>8</cp:revision>
  <cp:lastPrinted>2023-09-04T09:09:00Z</cp:lastPrinted>
  <dcterms:created xsi:type="dcterms:W3CDTF">2023-09-04T06:51:00Z</dcterms:created>
  <dcterms:modified xsi:type="dcterms:W3CDTF">2023-09-23T12:11:00Z</dcterms:modified>
</cp:coreProperties>
</file>