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5F" w:rsidRDefault="006C5380" w:rsidP="008B696E">
      <w:pPr>
        <w:rPr>
          <w:lang w:val="el-GR"/>
        </w:rPr>
      </w:pPr>
      <w:r w:rsidRPr="00D50E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0.85pt;margin-top:2.25pt;width:529.25pt;height:606.75pt;z-index:251662336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YiLQIAAFU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" fillcolor="white [3201]" stroked="f" strokeweight=".5pt">
            <v:textbox>
              <w:txbxContent>
                <w:p w:rsidR="007566BB" w:rsidRDefault="007566BB" w:rsidP="006C5380">
                  <w:pPr>
                    <w:jc w:val="center"/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7D5320" w:rsidRPr="007D5320" w:rsidRDefault="007D5320" w:rsidP="006C53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562A">
                    <w:rPr>
                      <w:b/>
                      <w:sz w:val="28"/>
                      <w:szCs w:val="28"/>
                      <w:lang w:val="el-GR"/>
                    </w:rPr>
                    <w:t>ΕΡΕΥΝΑ</w:t>
                  </w:r>
                  <w:r w:rsidRPr="007D5320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  <w:lang w:val="el-GR"/>
                    </w:rPr>
                    <w:t>ΕΠΙΧΕΙΡΗΜΑΤΙΚΟΥ</w:t>
                  </w:r>
                  <w:r w:rsidRPr="007D5320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PANEL</w:t>
                  </w:r>
                </w:p>
                <w:p w:rsidR="007D5320" w:rsidRPr="00B7738E" w:rsidRDefault="007D5320" w:rsidP="007D53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THE BUSINESS CONFIDENCE AND TRENDS INDEX </w:t>
                  </w:r>
                  <w:r w:rsidRPr="00B7738E">
                    <w:rPr>
                      <w:b/>
                      <w:sz w:val="28"/>
                      <w:szCs w:val="28"/>
                    </w:rPr>
                    <w:br/>
                    <w:t>(</w:t>
                  </w:r>
                  <w:r w:rsidRPr="00E9562A">
                    <w:rPr>
                      <w:b/>
                      <w:sz w:val="28"/>
                      <w:szCs w:val="28"/>
                      <w:lang w:val="el-GR"/>
                    </w:rPr>
                    <w:t>ΣΥΝΟΨΗ</w:t>
                  </w:r>
                  <w:r w:rsidRPr="00B7738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9562A">
                    <w:rPr>
                      <w:b/>
                      <w:sz w:val="28"/>
                      <w:szCs w:val="28"/>
                      <w:lang w:val="el-GR"/>
                    </w:rPr>
                    <w:t>ΑΠΟΤΕΛΕΣΜΑΤΩΝ</w:t>
                  </w:r>
                  <w:r w:rsidRPr="00B7738E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7D5320" w:rsidRPr="00E47986" w:rsidRDefault="007D5320" w:rsidP="007D5320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Το Επιχειρηματικό </w:t>
                  </w:r>
                  <w:r>
                    <w:t>panel</w:t>
                  </w:r>
                  <w:r>
                    <w:rPr>
                      <w:lang w:val="el-GR"/>
                    </w:rPr>
                    <w:t xml:space="preserve"> αποτελεί συνέχεια της</w:t>
                  </w:r>
                  <w:r w:rsidRPr="0007645A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Μέγα</w:t>
                  </w:r>
                  <w:r w:rsidRPr="0007645A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Επιχειρηματικής έρευνας η οποία καταγράφει ανά εξάμηνο τις τάσεις της επιχειρηματικής κοινότητας και</w:t>
                  </w:r>
                  <w:r w:rsidRPr="00E03CED">
                    <w:rPr>
                      <w:rFonts w:ascii="Calibri" w:hAnsi="Calibri" w:cs="Arial"/>
                      <w:sz w:val="23"/>
                      <w:szCs w:val="23"/>
                      <w:lang w:val="el-GR"/>
                    </w:rPr>
                    <w:t xml:space="preserve"> λειτουργεί ως </w:t>
                  </w:r>
                  <w:r w:rsidRPr="00E03CED">
                    <w:rPr>
                      <w:rFonts w:ascii="Calibri" w:hAnsi="Calibri" w:cs="Arial"/>
                      <w:sz w:val="23"/>
                      <w:szCs w:val="23"/>
                    </w:rPr>
                    <w:t>Benchmark</w:t>
                  </w:r>
                  <w:r>
                    <w:rPr>
                      <w:rFonts w:ascii="Calibri" w:hAnsi="Calibri" w:cs="Arial"/>
                      <w:sz w:val="23"/>
                      <w:szCs w:val="23"/>
                      <w:lang w:val="el-GR"/>
                    </w:rPr>
                    <w:t xml:space="preserve"> των Κυπριακών Επιχειρήσεων καλύπτοντας</w:t>
                  </w:r>
                  <w:r w:rsidRPr="00E03CED">
                    <w:rPr>
                      <w:rFonts w:ascii="Calibri" w:hAnsi="Calibri" w:cs="Arial"/>
                      <w:sz w:val="23"/>
                      <w:szCs w:val="23"/>
                      <w:lang w:val="el-GR"/>
                    </w:rPr>
                    <w:t xml:space="preserve"> μεταξύ άλλων τάσεις και προβλέψεις ως προς τις επιδόσεις των επιχειρήσεων (απασχόληση, κύκλο εργασιών, κερδοφορία, ρευστότητα και άλλους επιχειρηματικούς δείκτες),</w:t>
                  </w:r>
                  <w:r w:rsidRPr="0035196E">
                    <w:rPr>
                      <w:rFonts w:ascii="Calibri" w:hAnsi="Calibri" w:cs="Arial"/>
                      <w:sz w:val="23"/>
                      <w:szCs w:val="23"/>
                      <w:lang w:val="el-GR"/>
                    </w:rPr>
                    <w:t xml:space="preserve"> </w:t>
                  </w:r>
                  <w:r w:rsidRPr="00E03CED">
                    <w:rPr>
                      <w:rFonts w:ascii="Calibri" w:hAnsi="Calibri" w:cs="Arial"/>
                      <w:sz w:val="23"/>
                      <w:szCs w:val="23"/>
                      <w:lang w:val="el-GR"/>
                    </w:rPr>
                    <w:t>στρατηγικές επιλογές και άλλες σχετικές παραμέτρους.</w:t>
                  </w:r>
                </w:p>
                <w:p w:rsidR="007D5320" w:rsidRPr="00BC6125" w:rsidRDefault="007D5320" w:rsidP="007D5320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Το παρόν κύμα</w:t>
                  </w:r>
                  <w:r w:rsidRPr="0035196E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διεξήχθη από την </w:t>
                  </w:r>
                  <w:r>
                    <w:t>CMRC</w:t>
                  </w:r>
                  <w:r w:rsidRPr="0035196E">
                    <w:rPr>
                      <w:lang w:val="el-GR"/>
                    </w:rPr>
                    <w:t xml:space="preserve"> </w:t>
                  </w:r>
                  <w:r>
                    <w:t>CYPRONETWORK</w:t>
                  </w:r>
                  <w:r w:rsidRPr="0035196E">
                    <w:rPr>
                      <w:lang w:val="el-GR"/>
                    </w:rPr>
                    <w:t xml:space="preserve"> </w:t>
                  </w:r>
                  <w:r>
                    <w:t>LTD</w:t>
                  </w:r>
                  <w:r w:rsidRPr="0035196E">
                    <w:rPr>
                      <w:lang w:val="el-GR"/>
                    </w:rPr>
                    <w:t xml:space="preserve">. </w:t>
                  </w:r>
                  <w:r>
                    <w:rPr>
                      <w:lang w:val="el-GR"/>
                    </w:rPr>
                    <w:t xml:space="preserve">του ομίλου </w:t>
                  </w:r>
                  <w:r>
                    <w:t>CYPRONETWORK</w:t>
                  </w:r>
                  <w:r w:rsidRPr="0035196E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και είναι το ένατο σε σειρά, η έρευνα πραγματοποιείται σε συνεργασία και με την χορηγία της Ομοσπονδίας Εργοδοτών &amp; Βιομηχάνων (ΟΕΒ). </w:t>
                  </w:r>
                </w:p>
                <w:p w:rsidR="007D5320" w:rsidRPr="0007645A" w:rsidRDefault="007D5320" w:rsidP="007D5320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Το συνολικό αντιπροσωπευτικό δείγμα ανέρχεται σε 252 επιχειρήσεις και η έρευνα διεξήχθη την περίοδο Ιουνίου/ Ιουλίου του 2022. Η συλλογή των στοιχείων έγινε ηλεκτρονικά και με τηλεφωνικές συνεντεύξεις χρησιμοποιώντας ένα δομημένο ερωτηματολόγιο από τους συμμετέχοντες του επιχειρηματικού </w:t>
                  </w:r>
                  <w:r>
                    <w:t>panel</w:t>
                  </w:r>
                  <w:r>
                    <w:rPr>
                      <w:lang w:val="el-GR"/>
                    </w:rPr>
                    <w:t>.</w:t>
                  </w:r>
                </w:p>
                <w:p w:rsidR="007D5320" w:rsidRDefault="007D5320" w:rsidP="007D5320">
                  <w:pPr>
                    <w:ind w:left="426" w:hanging="284"/>
                    <w:jc w:val="both"/>
                    <w:rPr>
                      <w:lang w:val="el-GR"/>
                    </w:rPr>
                  </w:pPr>
                </w:p>
                <w:p w:rsidR="007D5320" w:rsidRDefault="007D5320" w:rsidP="007D532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Σχετικά με </w:t>
                  </w:r>
                  <w:r w:rsidRPr="00B87A85">
                    <w:rPr>
                      <w:lang w:val="el-GR"/>
                    </w:rPr>
                    <w:t xml:space="preserve">τη βοήθεια των μέτρων της κυβέρνησης για ενίσχυση των επιχειρήσεων, μόλις </w:t>
                  </w:r>
                  <w:r>
                    <w:rPr>
                      <w:lang w:val="el-GR"/>
                    </w:rPr>
                    <w:t>μία στις δέκα</w:t>
                  </w:r>
                  <w:r w:rsidRPr="00B87A85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επιχειρήσεις (11%)</w:t>
                  </w:r>
                  <w:r w:rsidRPr="00B87A85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θεωρούν ότι βοήθησαν πολύ, ενώ </w:t>
                  </w:r>
                  <w:r w:rsidRPr="00B87A85">
                    <w:rPr>
                      <w:lang w:val="el-GR"/>
                    </w:rPr>
                    <w:t>δ</w:t>
                  </w:r>
                  <w:r>
                    <w:rPr>
                      <w:lang w:val="el-GR"/>
                    </w:rPr>
                    <w:t>ύο</w:t>
                  </w:r>
                  <w:r w:rsidRPr="00B87A85">
                    <w:rPr>
                      <w:lang w:val="el-GR"/>
                    </w:rPr>
                    <w:t xml:space="preserve"> στις δέκα επιχειρήσεις (2</w:t>
                  </w:r>
                  <w:r>
                    <w:rPr>
                      <w:lang w:val="el-GR"/>
                    </w:rPr>
                    <w:t>3</w:t>
                  </w:r>
                  <w:r w:rsidRPr="00B87A85">
                    <w:rPr>
                      <w:lang w:val="el-GR"/>
                    </w:rPr>
                    <w:t>%) θεωρούν ότι τα μέτρα βοήθησαν αρκετά</w:t>
                  </w:r>
                  <w:r>
                    <w:rPr>
                      <w:lang w:val="el-GR"/>
                    </w:rPr>
                    <w:t>.</w:t>
                  </w:r>
                  <w:r w:rsidRPr="00B87A85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Η πλειοψηφία των επιχειρήσεων με ποσοστό</w:t>
                  </w:r>
                  <w:r w:rsidRPr="00B87A85">
                    <w:rPr>
                      <w:lang w:val="el-GR"/>
                    </w:rPr>
                    <w:t xml:space="preserve"> 6</w:t>
                  </w:r>
                  <w:r>
                    <w:rPr>
                      <w:lang w:val="el-GR"/>
                    </w:rPr>
                    <w:t>6</w:t>
                  </w:r>
                  <w:r w:rsidRPr="00B87A85">
                    <w:rPr>
                      <w:lang w:val="el-GR"/>
                    </w:rPr>
                    <w:t xml:space="preserve">% </w:t>
                  </w:r>
                  <w:r>
                    <w:rPr>
                      <w:lang w:val="el-GR"/>
                    </w:rPr>
                    <w:t>φαίνεται</w:t>
                  </w:r>
                  <w:r w:rsidRPr="00B87A85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να μην έχουν μείνει</w:t>
                  </w:r>
                  <w:r w:rsidRPr="00B87A85">
                    <w:rPr>
                      <w:lang w:val="el-GR"/>
                    </w:rPr>
                    <w:t xml:space="preserve"> ικανοποιημένες από </w:t>
                  </w:r>
                  <w:r>
                    <w:rPr>
                      <w:lang w:val="el-GR"/>
                    </w:rPr>
                    <w:t xml:space="preserve">την βοήθεια που έτυχαν μέσω των μέτρων στήριξης </w:t>
                  </w:r>
                  <w:r w:rsidRPr="00B87A85">
                    <w:rPr>
                      <w:lang w:val="el-GR"/>
                    </w:rPr>
                    <w:t>της κυβέρνησης.</w:t>
                  </w:r>
                </w:p>
                <w:p w:rsidR="007D5320" w:rsidRDefault="007D5320" w:rsidP="007D5320">
                  <w:pPr>
                    <w:pStyle w:val="ListParagraph"/>
                    <w:ind w:left="426"/>
                    <w:jc w:val="both"/>
                    <w:rPr>
                      <w:lang w:val="el-GR"/>
                    </w:rPr>
                  </w:pPr>
                </w:p>
                <w:p w:rsidR="007D5320" w:rsidRDefault="007D5320" w:rsidP="007D532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Όσον αφορά τα σημαντικότερα προβλήματα που αντιμετωπίζουν οι επιχειρήσεις σήμερα, το κόστος πρώτων υλών και ε</w:t>
                  </w:r>
                  <w:r w:rsidR="00F4114D">
                    <w:rPr>
                      <w:lang w:val="el-GR"/>
                    </w:rPr>
                    <w:t>νέργειας φαίνεται</w:t>
                  </w:r>
                  <w:r>
                    <w:rPr>
                      <w:lang w:val="el-GR"/>
                    </w:rPr>
                    <w:t xml:space="preserve"> να είναι αυτό που απασχολεί περισσότερο με επτά στις δέκα επιχειρήσεις (68%) να το </w:t>
                  </w:r>
                  <w:r w:rsidR="001923B8">
                    <w:rPr>
                      <w:lang w:val="el-GR"/>
                    </w:rPr>
                    <w:t>έχουν συμπεριλάβει στις υποδείξεις</w:t>
                  </w:r>
                  <w:r>
                    <w:rPr>
                      <w:lang w:val="el-GR"/>
                    </w:rPr>
                    <w:t xml:space="preserve"> τους, ακολουθεί η στελέχωση, εξεύρεση ανθρώπινου δυναμικού με 49%, με ελαφρώς πιο κάτω ποσοστά η μείωση ρευστότητάς και η γραφειοκρατία με 43% και 41% αντίστοιχα. Με μικρότερα ποσοστά έχουν αναφερθεί επίσης στα σημαντικότερα προβλήματα η έλλειψη πρώτων υλών με 31%, η μείωση κύκλου εργασιών με 27%, οι τραπεζικοί περιορισμοί/απαιτήσεις με 23%, θέματα με προμηθευτές καθώς και το κόστος προσωπικού με 21%, και με μικρότερα ποσοστά η εικόνα της Κύπρου στο εξωτερικό και η χρηματοδότηση από τράπεζες.  </w:t>
                  </w:r>
                </w:p>
                <w:p w:rsidR="007D5320" w:rsidRPr="007D5320" w:rsidRDefault="007D5320" w:rsidP="007D5320">
                  <w:pPr>
                    <w:spacing w:after="0" w:line="240" w:lineRule="auto"/>
                    <w:jc w:val="both"/>
                    <w:rPr>
                      <w:lang w:val="el-GR"/>
                    </w:rPr>
                  </w:pPr>
                </w:p>
                <w:p w:rsidR="007D5320" w:rsidRDefault="007D5320" w:rsidP="007D532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Η εκπαίδευση του υπάρχοντος π</w:t>
                  </w:r>
                  <w:r w:rsidR="00296E72">
                    <w:rPr>
                      <w:lang w:val="el-GR"/>
                    </w:rPr>
                    <w:t>ρ</w:t>
                  </w:r>
                  <w:r w:rsidR="00BB535B">
                    <w:rPr>
                      <w:lang w:val="el-GR"/>
                    </w:rPr>
                    <w:t>οσωπικού αποτελεί</w:t>
                  </w:r>
                  <w:r w:rsidR="00E27832">
                    <w:rPr>
                      <w:lang w:val="el-GR"/>
                    </w:rPr>
                    <w:t>,</w:t>
                  </w:r>
                  <w:r w:rsidR="00BB535B">
                    <w:rPr>
                      <w:lang w:val="el-GR"/>
                    </w:rPr>
                    <w:t xml:space="preserve"> σύμφωνα με</w:t>
                  </w:r>
                  <w:r>
                    <w:rPr>
                      <w:lang w:val="el-GR"/>
                    </w:rPr>
                    <w:t xml:space="preserve"> </w:t>
                  </w:r>
                  <w:r w:rsidR="00400CF4">
                    <w:rPr>
                      <w:lang w:val="el-GR"/>
                    </w:rPr>
                    <w:t>μια</w:t>
                  </w:r>
                  <w:r w:rsidR="00BB535B">
                    <w:rPr>
                      <w:lang w:val="el-GR"/>
                    </w:rPr>
                    <w:t xml:space="preserve"> στις </w:t>
                  </w:r>
                  <w:r w:rsidR="00400CF4">
                    <w:rPr>
                      <w:lang w:val="el-GR"/>
                    </w:rPr>
                    <w:t>πέντε</w:t>
                  </w:r>
                  <w:r>
                    <w:rPr>
                      <w:lang w:val="el-GR"/>
                    </w:rPr>
                    <w:t xml:space="preserve"> </w:t>
                  </w:r>
                  <w:r w:rsidR="00296E72">
                    <w:rPr>
                      <w:lang w:val="el-GR"/>
                    </w:rPr>
                    <w:t>επιχειρήσεις</w:t>
                  </w:r>
                  <w:r w:rsidR="00E27832">
                    <w:rPr>
                      <w:lang w:val="el-GR"/>
                    </w:rPr>
                    <w:t>,</w:t>
                  </w:r>
                  <w:r>
                    <w:rPr>
                      <w:lang w:val="el-GR"/>
                    </w:rPr>
                    <w:t xml:space="preserve"> την βασική ενέργεια/ προσέγγιση για την αντιμετώπιση των προβλημάτων που αντιμετωπίζουν οι επιχειρήσεις σήμερ</w:t>
                  </w:r>
                  <w:r w:rsidR="008423D8">
                    <w:rPr>
                      <w:lang w:val="el-GR"/>
                    </w:rPr>
                    <w:t>α. Εξίσου σημαντική παρουσιάζεται</w:t>
                  </w:r>
                  <w:r>
                    <w:rPr>
                      <w:lang w:val="el-GR"/>
                    </w:rPr>
                    <w:t xml:space="preserve"> και η εξεύρεση νέων μεθόδων προώθησης προϊόντων με ποσοστό 17% καθώς και η μηχανοργάνωση με 14%. Ακολουθούν η πρόσλ</w:t>
                  </w:r>
                  <w:r w:rsidR="000C0E6A">
                    <w:rPr>
                      <w:lang w:val="el-GR"/>
                    </w:rPr>
                    <w:t>ηψη εξειδικευμένου προσωπικού</w:t>
                  </w:r>
                  <w:r>
                    <w:rPr>
                      <w:lang w:val="el-GR"/>
                    </w:rPr>
                    <w:t xml:space="preserve"> και η εισαγωγή συστημάτων μέτρησης/ παρακολούθησης με 11%, η εξεύρεση κεφαλαίων με 8%, η αξιοποίηση Ευρωπαϊκών κονδυλίων, συνεργασία με άλλες επιχειρήσεις και αλλαγή οργανωτικής δομής με 7% αντίστοιχα.  </w:t>
                  </w:r>
                </w:p>
                <w:p w:rsidR="008B696E" w:rsidRPr="007D5320" w:rsidRDefault="008B696E" w:rsidP="007D5320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  <w:lang w:val="el-GR"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457200</wp:posOffset>
            </wp:positionV>
            <wp:extent cx="697230" cy="695325"/>
            <wp:effectExtent l="19050" t="0" r="7620" b="0"/>
            <wp:wrapSquare wrapText="bothSides"/>
            <wp:docPr id="6" name="Picture 3" descr="19429662_1889011964648694_120097661317891540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19429662_1889011964648694_1200976613178915402_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A5B">
        <w:rPr>
          <w:noProof/>
          <w:lang w:val="el-GR" w:eastAsia="el-GR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984365" cy="9878060"/>
            <wp:effectExtent l="0" t="0" r="6985" b="8890"/>
            <wp:wrapThrough wrapText="bothSides">
              <wp:wrapPolygon edited="0">
                <wp:start x="0" y="0"/>
                <wp:lineTo x="0" y="21578"/>
                <wp:lineTo x="21563" y="21578"/>
                <wp:lineTo x="215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8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863">
        <w:tab/>
      </w:r>
      <w:r w:rsidR="00BE5863">
        <w:tab/>
      </w:r>
      <w:r w:rsidR="00BE5863">
        <w:tab/>
      </w:r>
      <w:r w:rsidR="00BE5863">
        <w:tab/>
      </w:r>
      <w:r w:rsidR="00BE5863">
        <w:tab/>
      </w:r>
      <w:r w:rsidR="00BE5863">
        <w:tab/>
      </w:r>
      <w:r w:rsidR="00BE5863">
        <w:tab/>
      </w:r>
      <w:r w:rsidR="00BE5863">
        <w:tab/>
      </w:r>
      <w:r w:rsidR="00BE5863">
        <w:tab/>
      </w:r>
      <w:r w:rsidR="00BE5863">
        <w:tab/>
      </w:r>
      <w:r w:rsidR="00BE5863">
        <w:tab/>
      </w:r>
    </w:p>
    <w:p w:rsidR="007D5320" w:rsidRDefault="00D50EC8" w:rsidP="008B696E">
      <w:pPr>
        <w:rPr>
          <w:lang w:val="el-GR"/>
        </w:rPr>
      </w:pPr>
      <w:r w:rsidRPr="00D50EC8">
        <w:rPr>
          <w:noProof/>
        </w:rPr>
        <w:lastRenderedPageBreak/>
        <w:pict>
          <v:shape id="_x0000_s1030" type="#_x0000_t202" style="position:absolute;margin-left:32.85pt;margin-top:107.25pt;width:529.25pt;height:617.25pt;z-index:251668480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YiLQIAAFU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" fillcolor="white [3201]" stroked="f" strokeweight=".5pt">
            <v:textbox>
              <w:txbxContent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 w:rsidRPr="00CF227D">
                    <w:rPr>
                      <w:lang w:val="el-GR"/>
                    </w:rPr>
                    <w:t xml:space="preserve">Ο </w:t>
                  </w:r>
                  <w:r w:rsidRPr="000C26A9">
                    <w:rPr>
                      <w:u w:val="single"/>
                      <w:lang w:val="el-GR"/>
                    </w:rPr>
                    <w:t>κύκλος εργασιών</w:t>
                  </w:r>
                  <w:r w:rsidRPr="00CF227D">
                    <w:rPr>
                      <w:lang w:val="el-GR"/>
                    </w:rPr>
                    <w:t xml:space="preserve"> των επιχειρήσεων παρουσιάζει αύξηση</w:t>
                  </w:r>
                  <w:r>
                    <w:rPr>
                      <w:lang w:val="el-GR"/>
                    </w:rPr>
                    <w:t xml:space="preserve"> σε σχέση με τα πολύ χαμηλά ποσοστά από τα δύο προηγούμενα κύματα της έρευνας παραμένοντας όμως σε χαμηλά επίπεδα. Αναλυτικότερα, ποσοστό 24% αναφέρει ότι ο κύκλος εργασιών της επιχείρησης έχει αυξηθεί κατά το τελευταίο εξάμηνο, με τ</w:t>
                  </w:r>
                  <w:r w:rsidRPr="00CF227D">
                    <w:rPr>
                      <w:lang w:val="el-GR"/>
                    </w:rPr>
                    <w:t xml:space="preserve">ο ποσοστό των επιχειρήσεων που δηλώνουν μείωση του κύκλου εργασιών τους </w:t>
                  </w:r>
                  <w:r>
                    <w:rPr>
                      <w:lang w:val="el-GR"/>
                    </w:rPr>
                    <w:t>να παραμένει σε αρκετά ψηλά επίπεδα και πιο συγκεκριμένα</w:t>
                  </w:r>
                  <w:r w:rsidRPr="00CF227D">
                    <w:rPr>
                      <w:lang w:val="el-GR"/>
                    </w:rPr>
                    <w:t xml:space="preserve"> στο </w:t>
                  </w:r>
                  <w:r>
                    <w:rPr>
                      <w:lang w:val="el-GR"/>
                    </w:rPr>
                    <w:t>41</w:t>
                  </w:r>
                  <w:r w:rsidRPr="00CF227D">
                    <w:rPr>
                      <w:lang w:val="el-GR"/>
                    </w:rPr>
                    <w:t xml:space="preserve">%. </w:t>
                  </w:r>
                  <w:r>
                    <w:rPr>
                      <w:lang w:val="el-GR"/>
                    </w:rPr>
                    <w:t>Παρόμοια</w:t>
                  </w:r>
                  <w:r w:rsidRPr="00CF227D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τάση με ελαφριά αύξηση παραμένοντάς όμως σε χαμηλά επίπεδα, επικρατεί και στο δείκτη</w:t>
                  </w:r>
                  <w:r w:rsidRPr="00CF227D">
                    <w:rPr>
                      <w:lang w:val="el-GR"/>
                    </w:rPr>
                    <w:t xml:space="preserve"> </w:t>
                  </w:r>
                  <w:r w:rsidRPr="000C26A9">
                    <w:rPr>
                      <w:u w:val="single"/>
                      <w:lang w:val="el-GR"/>
                    </w:rPr>
                    <w:t>κερδοφορίας</w:t>
                  </w:r>
                  <w:r>
                    <w:rPr>
                      <w:lang w:val="el-GR"/>
                    </w:rPr>
                    <w:t xml:space="preserve"> καθώς και στο δείκτη </w:t>
                  </w:r>
                  <w:r w:rsidRPr="000C26A9">
                    <w:rPr>
                      <w:u w:val="single"/>
                      <w:lang w:val="el-GR"/>
                    </w:rPr>
                    <w:t>εισπράξεων/ ρευστότητας</w:t>
                  </w:r>
                  <w:r>
                    <w:rPr>
                      <w:lang w:val="el-GR"/>
                    </w:rPr>
                    <w:t xml:space="preserve">. </w:t>
                  </w:r>
                </w:p>
                <w:p w:rsidR="00C8752F" w:rsidRPr="000C26A9" w:rsidRDefault="00C8752F" w:rsidP="00C8752F">
                  <w:pPr>
                    <w:pStyle w:val="ListParagraph"/>
                    <w:rPr>
                      <w:lang w:val="el-GR"/>
                    </w:rPr>
                  </w:pPr>
                </w:p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Όσον αφορά το </w:t>
                  </w:r>
                  <w:r w:rsidRPr="000C26A9">
                    <w:rPr>
                      <w:u w:val="single"/>
                      <w:lang w:val="el-GR"/>
                    </w:rPr>
                    <w:t>κόστος εργατικού δυναμικού</w:t>
                  </w:r>
                  <w:r>
                    <w:rPr>
                      <w:lang w:val="el-GR"/>
                    </w:rPr>
                    <w:t xml:space="preserve"> αυτό σύμφωνα με τις επιχειρήσεις παρουσιάζει σημαντική αύξηση σε σχέση με τα προηγούμενα χρόνια με 34% να αναφέρει ότι έχει αυξηθεί και με μόλις 3% να αναφέρει μείωση. </w:t>
                  </w:r>
                </w:p>
                <w:p w:rsidR="00C8752F" w:rsidRPr="000C26A9" w:rsidRDefault="00C8752F" w:rsidP="00C8752F">
                  <w:pPr>
                    <w:pStyle w:val="ListParagraph"/>
                    <w:rPr>
                      <w:lang w:val="el-GR"/>
                    </w:rPr>
                  </w:pPr>
                </w:p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Το </w:t>
                  </w:r>
                  <w:r w:rsidRPr="000C26A9">
                    <w:rPr>
                      <w:u w:val="single"/>
                      <w:lang w:val="el-GR"/>
                    </w:rPr>
                    <w:t>κόστος χρηματοδότησης</w:t>
                  </w:r>
                  <w:r>
                    <w:rPr>
                      <w:lang w:val="el-GR"/>
                    </w:rPr>
                    <w:t xml:space="preserve"> της επιχείρησης συνεχίζει να παρουσιάζει αυξητική πορεία με 15% να αναφέρει ότι έχει αυξηθεί. </w:t>
                  </w:r>
                </w:p>
                <w:p w:rsidR="00C8752F" w:rsidRPr="00C8784F" w:rsidRDefault="00C8752F" w:rsidP="00C8752F">
                  <w:pPr>
                    <w:pStyle w:val="ListParagraph"/>
                    <w:rPr>
                      <w:lang w:val="el-GR"/>
                    </w:rPr>
                  </w:pPr>
                </w:p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 w:rsidRPr="00C8784F">
                    <w:rPr>
                      <w:lang w:val="el-GR"/>
                    </w:rPr>
                    <w:t xml:space="preserve">Όσον αφορά το </w:t>
                  </w:r>
                  <w:r w:rsidRPr="00B0094F">
                    <w:rPr>
                      <w:u w:val="single"/>
                      <w:lang w:val="el-GR"/>
                    </w:rPr>
                    <w:t>κόστος αγορών πρώτων υλών</w:t>
                  </w:r>
                  <w:r>
                    <w:rPr>
                      <w:lang w:val="el-GR"/>
                    </w:rPr>
                    <w:t xml:space="preserve"> </w:t>
                  </w:r>
                  <w:r w:rsidRPr="00C8784F">
                    <w:rPr>
                      <w:lang w:val="el-GR"/>
                    </w:rPr>
                    <w:t xml:space="preserve">της επιχείρησης, σύμφωνα με τα ευρήματα της έρευνας, παρουσιάζει </w:t>
                  </w:r>
                  <w:r>
                    <w:rPr>
                      <w:lang w:val="el-GR"/>
                    </w:rPr>
                    <w:t>ραγδαία</w:t>
                  </w:r>
                  <w:r w:rsidRPr="00C8784F">
                    <w:rPr>
                      <w:lang w:val="el-GR"/>
                    </w:rPr>
                    <w:t xml:space="preserve"> αύξηση με </w:t>
                  </w:r>
                  <w:r>
                    <w:rPr>
                      <w:lang w:val="el-GR"/>
                    </w:rPr>
                    <w:t>οκτώ</w:t>
                  </w:r>
                  <w:r w:rsidRPr="00C8784F">
                    <w:rPr>
                      <w:lang w:val="el-GR"/>
                    </w:rPr>
                    <w:t xml:space="preserve"> στις δέκα επιχειρήσεις (</w:t>
                  </w:r>
                  <w:r>
                    <w:rPr>
                      <w:lang w:val="el-GR"/>
                    </w:rPr>
                    <w:t>81</w:t>
                  </w:r>
                  <w:r w:rsidRPr="00C8784F">
                    <w:rPr>
                      <w:lang w:val="el-GR"/>
                    </w:rPr>
                    <w:t>%) να αναφέρουν ότι έχει αυξηθεί</w:t>
                  </w:r>
                  <w:r>
                    <w:rPr>
                      <w:lang w:val="el-GR"/>
                    </w:rPr>
                    <w:t xml:space="preserve"> ακόμη και σε σχέση με το περσινό αυξημένο ποσοστό</w:t>
                  </w:r>
                  <w:r w:rsidRPr="00C8784F">
                    <w:rPr>
                      <w:lang w:val="el-GR"/>
                    </w:rPr>
                    <w:t xml:space="preserve">. Αξίζει να σημειωθεί ότι το ποσοστό αυτό είναι πολύ υψηλό ακόμη και συγκρινόμενο με όλα τα προηγούμενα χρόνια διεξαγωγής της έρευνας. </w:t>
                  </w:r>
                </w:p>
                <w:p w:rsidR="00C8752F" w:rsidRPr="00C8784F" w:rsidRDefault="00C8752F" w:rsidP="00C8752F">
                  <w:pPr>
                    <w:pStyle w:val="ListParagraph"/>
                    <w:rPr>
                      <w:lang w:val="el-GR"/>
                    </w:rPr>
                  </w:pPr>
                </w:p>
                <w:p w:rsidR="00C8752F" w:rsidRPr="00C8784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 w:rsidRPr="00C8784F">
                    <w:rPr>
                      <w:lang w:val="el-GR"/>
                    </w:rPr>
                    <w:t xml:space="preserve">Στον δείκτη που αφορά την </w:t>
                  </w:r>
                  <w:r w:rsidRPr="00150598">
                    <w:rPr>
                      <w:u w:val="single"/>
                      <w:lang w:val="el-GR"/>
                    </w:rPr>
                    <w:t>αξία της επιχείρησης</w:t>
                  </w:r>
                  <w:r w:rsidRPr="00C8784F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όπως και </w:t>
                  </w:r>
                  <w:r w:rsidRPr="00C8784F">
                    <w:rPr>
                      <w:lang w:val="el-GR"/>
                    </w:rPr>
                    <w:t xml:space="preserve">τον δείκτη διαφοροποίησης των </w:t>
                  </w:r>
                  <w:r w:rsidRPr="00150598">
                    <w:rPr>
                      <w:u w:val="single"/>
                      <w:lang w:val="el-GR"/>
                    </w:rPr>
                    <w:t>επενδύσεων</w:t>
                  </w:r>
                  <w:r w:rsidRPr="00C8784F">
                    <w:rPr>
                      <w:lang w:val="el-GR"/>
                    </w:rPr>
                    <w:t xml:space="preserve"> της επιχείρησης </w:t>
                  </w:r>
                  <w:r w:rsidR="00086E66">
                    <w:rPr>
                      <w:lang w:val="el-GR"/>
                    </w:rPr>
                    <w:t>εμφανίζεται</w:t>
                  </w:r>
                  <w:r>
                    <w:rPr>
                      <w:lang w:val="el-GR"/>
                    </w:rPr>
                    <w:t xml:space="preserve"> μια μικρή σταθεροποίηση σε σχέση με την περσινή χρονιά</w:t>
                  </w:r>
                  <w:r w:rsidRPr="00C8784F">
                    <w:rPr>
                      <w:lang w:val="el-GR"/>
                    </w:rPr>
                    <w:t xml:space="preserve">.   </w:t>
                  </w:r>
                </w:p>
                <w:p w:rsidR="00C8752F" w:rsidRPr="004B5A07" w:rsidRDefault="00C8752F" w:rsidP="00C8752F">
                  <w:pPr>
                    <w:pStyle w:val="ListParagraph"/>
                    <w:rPr>
                      <w:lang w:val="el-GR"/>
                    </w:rPr>
                  </w:pPr>
                </w:p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Εννέα στις δέκα επιχειρήσεις αναμένουν κατά το επόμενο εξάμηνο να αυξηθεί το κόστος ενέργειας της επιχείρησης με μόλις 1% να δηλώνει ότι περιμένει να υπάρχει κάποια μείωση.</w:t>
                  </w:r>
                </w:p>
                <w:p w:rsidR="00C8752F" w:rsidRDefault="00C8752F" w:rsidP="00C8752F">
                  <w:pPr>
                    <w:pStyle w:val="ListParagraph"/>
                    <w:spacing w:after="0" w:line="240" w:lineRule="auto"/>
                    <w:ind w:left="426"/>
                    <w:jc w:val="both"/>
                    <w:rPr>
                      <w:lang w:val="el-GR"/>
                    </w:rPr>
                  </w:pPr>
                </w:p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Σύμφωνα με τις προβλέψεις των επιχειρήσεων για τον </w:t>
                  </w:r>
                  <w:r w:rsidRPr="00150598">
                    <w:rPr>
                      <w:u w:val="single"/>
                      <w:lang w:val="el-GR"/>
                    </w:rPr>
                    <w:t>κύκλο εργασιών</w:t>
                  </w:r>
                  <w:r>
                    <w:rPr>
                      <w:lang w:val="el-GR"/>
                    </w:rPr>
                    <w:t xml:space="preserve"> για το επόμενο εξάμηνο,</w:t>
                  </w:r>
                  <w:r w:rsidRPr="0007645A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το 30% των επιχειρήσεων δήλωσαν ότι θα παραμείνει ο ίδιος, το 34% ότι θα παρουσιάσει μείωση και το 28% αύξηση. Με ελαφρώς διαφοροποιημένη τάση καταγράφεται στις  προβλέψεις για την </w:t>
                  </w:r>
                  <w:r w:rsidR="00DB6D47">
                    <w:rPr>
                      <w:u w:val="single"/>
                      <w:lang w:val="el-GR"/>
                    </w:rPr>
                    <w:t>κερδοφορία</w:t>
                  </w:r>
                  <w:r>
                    <w:rPr>
                      <w:lang w:val="el-GR"/>
                    </w:rPr>
                    <w:t xml:space="preserve"> της επιχείρησης με το 42% να αναφέρει ότι περιμένουν να παραμείνει ο ίδιος, το 37% να μειωθεί και 11% να αυξηθεί.</w:t>
                  </w:r>
                </w:p>
                <w:p w:rsidR="00C8752F" w:rsidRDefault="00C8752F" w:rsidP="00C8752F">
                  <w:pPr>
                    <w:pStyle w:val="ListParagraph"/>
                    <w:ind w:left="426"/>
                    <w:jc w:val="both"/>
                    <w:rPr>
                      <w:lang w:val="el-GR"/>
                    </w:rPr>
                  </w:pPr>
                </w:p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Σχετικά με τις προβλέψεις για τους άλλους οικονομικούς δείκτες για το επόμενο εξάμηνο, βλέπουμε την συντριπτική πλειοψηφία των επιχειρήσεων με ποσοστό 75% να αναφέρει ότι το κόστος ενέργειας θα </w:t>
                  </w:r>
                  <w:r w:rsidR="00DB6D47">
                    <w:rPr>
                      <w:lang w:val="el-GR"/>
                    </w:rPr>
                    <w:t>αυξηθεί, μεγάλη αύξηση αναμένεται</w:t>
                  </w:r>
                  <w:r>
                    <w:rPr>
                      <w:lang w:val="el-GR"/>
                    </w:rPr>
                    <w:t xml:space="preserve"> επίσης και στο κόστος αγοράς πρώτων υλών (61%). Όσον αφορά τους υπόλοιπους δείκτες οι επιχειρήσεις αναμένουν για το επόμενο ε</w:t>
                  </w:r>
                  <w:r w:rsidR="004D5A17">
                    <w:rPr>
                      <w:lang w:val="el-GR"/>
                    </w:rPr>
                    <w:t>ξάμηνο μια γενική σταθερότητά χωρί</w:t>
                  </w:r>
                  <w:r>
                    <w:rPr>
                      <w:lang w:val="el-GR"/>
                    </w:rPr>
                    <w:t xml:space="preserve">ς ιδιαίτερες διαφοροποιήσεις.  </w:t>
                  </w:r>
                </w:p>
                <w:p w:rsidR="00C8752F" w:rsidRPr="00C8752F" w:rsidRDefault="00C8752F" w:rsidP="00C8752F">
                  <w:pPr>
                    <w:spacing w:after="0" w:line="240" w:lineRule="auto"/>
                    <w:jc w:val="both"/>
                    <w:rPr>
                      <w:lang w:val="el-GR"/>
                    </w:rPr>
                  </w:pPr>
                </w:p>
                <w:p w:rsidR="00C8752F" w:rsidRPr="00F94E7C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jc w:val="both"/>
                    <w:rPr>
                      <w:lang w:val="el-GR"/>
                    </w:rPr>
                  </w:pPr>
                  <w:r w:rsidRPr="00F94E7C">
                    <w:rPr>
                      <w:lang w:val="el-GR"/>
                    </w:rPr>
                    <w:t xml:space="preserve">Οι στρατηγικές επιλογές των επιχειρήσεων για το επόμενο εξάμηνο στοχεύουν κυρίως στην εισαγωγή νέων προϊόντων και υπηρεσιών με ποσοστό 27%, την ένταση προωθητικών ενεργειών με 19% και  τη περαιτέρω μείωση κοστών επιχείρησης με 18% . Στην αντίπερα όχθη έχουμε τέσσερις στις δέκα επιχειρήσεις (41%) οι οποίες έχουν αναφέρει πως δεν υπάρχει κάποιο πλάνο. </w:t>
                  </w:r>
                </w:p>
                <w:p w:rsidR="00C8752F" w:rsidRPr="006A4CAA" w:rsidRDefault="00C8752F" w:rsidP="00C8752F">
                  <w:pPr>
                    <w:pStyle w:val="ListParagraph"/>
                    <w:rPr>
                      <w:lang w:val="el-GR"/>
                    </w:rPr>
                  </w:pPr>
                </w:p>
                <w:p w:rsidR="00C8752F" w:rsidRDefault="00C8752F" w:rsidP="00C8752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426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Οι απόψεις, αναφορικά με τις ενέργειες εκ μέρους του κράτους ώστε να βοηθηθούν οι επιχειρήσεις, συγκλίνουν προς την επίσπευση διαδικασιών </w:t>
                  </w:r>
                  <w:proofErr w:type="spellStart"/>
                  <w:r>
                    <w:rPr>
                      <w:lang w:val="el-GR"/>
                    </w:rPr>
                    <w:t>αδειοδότησης</w:t>
                  </w:r>
                  <w:proofErr w:type="spellEnd"/>
                  <w:r>
                    <w:rPr>
                      <w:lang w:val="el-GR"/>
                    </w:rPr>
                    <w:t xml:space="preserve"> νέων έργων/ επενδύσεων, την γρήγορή εφαρμογή και παραχώρηση κινήτρων και την απλοποίηση της γραφειοκρατίας. </w:t>
                  </w:r>
                </w:p>
                <w:p w:rsidR="00C8752F" w:rsidRPr="00C8752F" w:rsidRDefault="00C8752F" w:rsidP="00C8752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7D5320" w:rsidRPr="007D5320"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304800</wp:posOffset>
            </wp:positionV>
            <wp:extent cx="6984365" cy="9878060"/>
            <wp:effectExtent l="0" t="0" r="6985" b="8890"/>
            <wp:wrapThrough wrapText="bothSides">
              <wp:wrapPolygon edited="0">
                <wp:start x="0" y="0"/>
                <wp:lineTo x="0" y="21578"/>
                <wp:lineTo x="21563" y="21578"/>
                <wp:lineTo x="21563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8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380" w:rsidRDefault="006C5380" w:rsidP="008B696E">
      <w:pPr>
        <w:rPr>
          <w:lang w:val="el-GR"/>
        </w:rPr>
      </w:pPr>
    </w:p>
    <w:p w:rsidR="007D5320" w:rsidRPr="007D5320" w:rsidRDefault="006C5380" w:rsidP="008B696E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5812155</wp:posOffset>
            </wp:positionH>
            <wp:positionV relativeFrom="paragraph">
              <wp:posOffset>85725</wp:posOffset>
            </wp:positionV>
            <wp:extent cx="697230" cy="695325"/>
            <wp:effectExtent l="19050" t="0" r="7620" b="0"/>
            <wp:wrapSquare wrapText="bothSides"/>
            <wp:docPr id="5" name="Picture 3" descr="19429662_1889011964648694_120097661317891540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19429662_1889011964648694_1200976613178915402_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5320" w:rsidRPr="007D5320" w:rsidSect="000D118B">
      <w:pgSz w:w="12240" w:h="15840"/>
      <w:pgMar w:top="0" w:right="616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6B"/>
    <w:multiLevelType w:val="hybridMultilevel"/>
    <w:tmpl w:val="7C0EA6D2"/>
    <w:lvl w:ilvl="0" w:tplc="0408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4D393B39"/>
    <w:multiLevelType w:val="hybridMultilevel"/>
    <w:tmpl w:val="781C2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1CE1B11"/>
    <w:multiLevelType w:val="hybridMultilevel"/>
    <w:tmpl w:val="0F1628F4"/>
    <w:lvl w:ilvl="0" w:tplc="D7B4C4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93ABA"/>
    <w:multiLevelType w:val="hybridMultilevel"/>
    <w:tmpl w:val="78B43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255A2"/>
    <w:multiLevelType w:val="hybridMultilevel"/>
    <w:tmpl w:val="BE9AA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F11B58"/>
    <w:multiLevelType w:val="hybridMultilevel"/>
    <w:tmpl w:val="8D6A9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A18"/>
    <w:rsid w:val="0001349F"/>
    <w:rsid w:val="000749CC"/>
    <w:rsid w:val="00086E66"/>
    <w:rsid w:val="000C0E6A"/>
    <w:rsid w:val="000D118B"/>
    <w:rsid w:val="001923B8"/>
    <w:rsid w:val="00236D0C"/>
    <w:rsid w:val="00296E72"/>
    <w:rsid w:val="002F64E7"/>
    <w:rsid w:val="00400CF4"/>
    <w:rsid w:val="00451476"/>
    <w:rsid w:val="004D5A17"/>
    <w:rsid w:val="00556EDE"/>
    <w:rsid w:val="00673446"/>
    <w:rsid w:val="006C5380"/>
    <w:rsid w:val="007566BB"/>
    <w:rsid w:val="007D5320"/>
    <w:rsid w:val="008423D8"/>
    <w:rsid w:val="008B696E"/>
    <w:rsid w:val="00911A18"/>
    <w:rsid w:val="009E0E5F"/>
    <w:rsid w:val="00A11EDE"/>
    <w:rsid w:val="00BB535B"/>
    <w:rsid w:val="00BE5863"/>
    <w:rsid w:val="00C209C2"/>
    <w:rsid w:val="00C373B2"/>
    <w:rsid w:val="00C8752F"/>
    <w:rsid w:val="00CB6180"/>
    <w:rsid w:val="00D50EC8"/>
    <w:rsid w:val="00D6667E"/>
    <w:rsid w:val="00DB6D47"/>
    <w:rsid w:val="00DE57EA"/>
    <w:rsid w:val="00E24B4A"/>
    <w:rsid w:val="00E27832"/>
    <w:rsid w:val="00E56F95"/>
    <w:rsid w:val="00E71F78"/>
    <w:rsid w:val="00E97A5B"/>
    <w:rsid w:val="00F0538E"/>
    <w:rsid w:val="00F4114D"/>
    <w:rsid w:val="00F8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</dc:creator>
  <cp:keywords/>
  <dc:description/>
  <cp:lastModifiedBy>Angela Pitiri</cp:lastModifiedBy>
  <cp:revision>43</cp:revision>
  <cp:lastPrinted>2020-11-16T08:33:00Z</cp:lastPrinted>
  <dcterms:created xsi:type="dcterms:W3CDTF">2020-11-16T07:40:00Z</dcterms:created>
  <dcterms:modified xsi:type="dcterms:W3CDTF">2022-09-21T07:34:00Z</dcterms:modified>
</cp:coreProperties>
</file>