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01" w:rsidRPr="005C6460" w:rsidRDefault="001C7A01" w:rsidP="005C6460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ΠΑΡΑΡΤΗΜΑ  2</w:t>
      </w:r>
    </w:p>
    <w:p w:rsidR="001C7A01" w:rsidRPr="005C6460" w:rsidRDefault="001C7A01" w:rsidP="005C6460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5C6460">
        <w:rPr>
          <w:rFonts w:ascii="Arial" w:hAnsi="Arial" w:cs="Arial"/>
          <w:b/>
          <w:sz w:val="24"/>
          <w:szCs w:val="24"/>
          <w:u w:val="single"/>
          <w:lang w:val="el-GR"/>
        </w:rPr>
        <w:t>«Οι περί Ασφάλειας και Υγείας στην Εργασία (Γνωστοποίηση Ατυχημάτων και Επικίνδυνων Συμβάντων) (Τροποποιητικοί) Κανονισμοί του 201</w:t>
      </w:r>
      <w:r w:rsidR="00B77C33" w:rsidRPr="005C6460">
        <w:rPr>
          <w:rFonts w:ascii="Arial" w:hAnsi="Arial" w:cs="Arial"/>
          <w:b/>
          <w:sz w:val="24"/>
          <w:szCs w:val="24"/>
          <w:u w:val="single"/>
          <w:lang w:val="el-GR"/>
        </w:rPr>
        <w:t>7</w:t>
      </w:r>
      <w:r w:rsidRPr="005C6460">
        <w:rPr>
          <w:rFonts w:ascii="Arial" w:hAnsi="Arial" w:cs="Arial"/>
          <w:b/>
          <w:sz w:val="24"/>
          <w:szCs w:val="24"/>
          <w:u w:val="single"/>
          <w:lang w:val="el-GR"/>
        </w:rPr>
        <w:t>»</w:t>
      </w:r>
    </w:p>
    <w:p w:rsidR="00FA04B7" w:rsidRPr="005C6460" w:rsidRDefault="001C7A01" w:rsidP="005C646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6460">
        <w:rPr>
          <w:rFonts w:ascii="Arial" w:hAnsi="Arial" w:cs="Arial"/>
          <w:b/>
          <w:sz w:val="24"/>
          <w:szCs w:val="24"/>
          <w:u w:val="single"/>
          <w:lang w:val="el-GR"/>
        </w:rPr>
        <w:t>ΤΡΟΠΟΠΟΙΗΣΕΙΣ</w:t>
      </w:r>
    </w:p>
    <w:p w:rsidR="00B6159E" w:rsidRPr="005C6460" w:rsidRDefault="00B6159E" w:rsidP="00B77C3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6159E" w:rsidRPr="005C6460" w:rsidRDefault="00B6159E" w:rsidP="00B77C3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b/>
          <w:sz w:val="24"/>
          <w:szCs w:val="24"/>
          <w:lang w:val="el-GR"/>
        </w:rPr>
        <w:t>Αφαίρεση της πρόνοιας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για γνωστοποίηση των </w:t>
      </w:r>
      <w:r w:rsidR="006D72D7" w:rsidRPr="005C6460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μη θανατηφόρων </w:t>
      </w:r>
      <w:r w:rsidRPr="005C6460">
        <w:rPr>
          <w:rFonts w:ascii="Arial" w:hAnsi="Arial" w:cs="Arial"/>
          <w:b/>
          <w:sz w:val="24"/>
          <w:szCs w:val="24"/>
          <w:u w:val="single"/>
          <w:lang w:val="el-GR"/>
        </w:rPr>
        <w:t>ατυχημάτων</w:t>
      </w:r>
      <w:r w:rsidR="006D72D7" w:rsidRPr="005C6460">
        <w:rPr>
          <w:rFonts w:ascii="Arial" w:hAnsi="Arial" w:cs="Arial"/>
          <w:sz w:val="24"/>
          <w:szCs w:val="24"/>
          <w:lang w:val="el-GR"/>
        </w:rPr>
        <w:t xml:space="preserve"> στις πιο κάτω περιπτώσεις ατυχημάτων (Σημ.</w:t>
      </w:r>
      <w:r w:rsidRPr="005C6460">
        <w:rPr>
          <w:rFonts w:ascii="Arial" w:hAnsi="Arial" w:cs="Arial"/>
          <w:sz w:val="24"/>
          <w:szCs w:val="24"/>
          <w:lang w:val="el-GR"/>
        </w:rPr>
        <w:t>:</w:t>
      </w:r>
      <w:r w:rsidR="006D72D7" w:rsidRPr="005C6460">
        <w:rPr>
          <w:rFonts w:ascii="Arial" w:hAnsi="Arial" w:cs="Arial"/>
          <w:sz w:val="24"/>
          <w:szCs w:val="24"/>
          <w:lang w:val="el-GR"/>
        </w:rPr>
        <w:t xml:space="preserve"> Η υποχρέωση για γνωστοποίηση περιορίζεται μόνο στα θανατηφόρα ατυχήματα):</w:t>
      </w:r>
    </w:p>
    <w:p w:rsidR="00B6159E" w:rsidRPr="005C6460" w:rsidRDefault="00B6159E" w:rsidP="00B77C3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:rsidR="006D72D7" w:rsidRPr="005C6460" w:rsidRDefault="006D72D7" w:rsidP="00B77C33">
      <w:pPr>
        <w:pStyle w:val="ListParagraph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5C6460">
        <w:rPr>
          <w:rFonts w:ascii="Arial" w:hAnsi="Arial" w:cs="Arial"/>
          <w:b/>
          <w:sz w:val="24"/>
          <w:szCs w:val="24"/>
          <w:lang w:val="el-GR"/>
        </w:rPr>
        <w:t>σε πρόσωπα εκτός εργασίας</w:t>
      </w:r>
    </w:p>
    <w:p w:rsidR="00220268" w:rsidRPr="005C6460" w:rsidRDefault="00220268" w:rsidP="00B77C33">
      <w:pPr>
        <w:pStyle w:val="ListParagraph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 xml:space="preserve">σε </w:t>
      </w:r>
      <w:r w:rsidRPr="005C6460">
        <w:rPr>
          <w:rFonts w:ascii="Arial" w:hAnsi="Arial" w:cs="Arial"/>
          <w:b/>
          <w:sz w:val="24"/>
          <w:szCs w:val="24"/>
          <w:lang w:val="el-GR"/>
        </w:rPr>
        <w:t>κληρωτούς στρατιώτες, εφέδρους και εθνοφύλακες κατά τη διάρκεια δραστηριοτήτων των Ενόπλων Δυνάμεων</w:t>
      </w:r>
    </w:p>
    <w:p w:rsidR="00A50BAA" w:rsidRPr="005C6460" w:rsidRDefault="00A50BAA" w:rsidP="00A50BAA">
      <w:pPr>
        <w:spacing w:after="0" w:line="360" w:lineRule="auto"/>
        <w:ind w:left="720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50530" w:rsidRPr="005C6460" w:rsidRDefault="00850530" w:rsidP="00B77C3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5C6460">
        <w:rPr>
          <w:rFonts w:ascii="Arial" w:hAnsi="Arial" w:cs="Arial"/>
          <w:b/>
          <w:sz w:val="24"/>
          <w:szCs w:val="24"/>
          <w:lang w:val="el-GR"/>
        </w:rPr>
        <w:t>Αφαίρεση της πρόνοιας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για γνωστοποίηση </w:t>
      </w:r>
      <w:r w:rsidRPr="005C6460">
        <w:rPr>
          <w:rFonts w:ascii="Arial" w:hAnsi="Arial" w:cs="Arial"/>
          <w:b/>
          <w:sz w:val="24"/>
          <w:szCs w:val="24"/>
          <w:u w:val="single"/>
          <w:lang w:val="el-GR"/>
        </w:rPr>
        <w:t>όλων των  ατυχημάτων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στις πιο κάτω περιπτώσεις ατυχημάτων:</w:t>
      </w:r>
    </w:p>
    <w:p w:rsidR="00850530" w:rsidRPr="005C6460" w:rsidRDefault="00220268" w:rsidP="00B77C33">
      <w:pPr>
        <w:pStyle w:val="ListParagraph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5C6460">
        <w:rPr>
          <w:rFonts w:ascii="Arial" w:hAnsi="Arial" w:cs="Arial"/>
          <w:b/>
          <w:sz w:val="24"/>
          <w:szCs w:val="24"/>
          <w:lang w:val="el-GR"/>
        </w:rPr>
        <w:t xml:space="preserve">Ατυχήματα που συμβαίνουν σε πρόσωπα που </w:t>
      </w:r>
      <w:proofErr w:type="spellStart"/>
      <w:r w:rsidRPr="005C6460">
        <w:rPr>
          <w:rFonts w:ascii="Arial" w:hAnsi="Arial" w:cs="Arial"/>
          <w:b/>
          <w:sz w:val="24"/>
          <w:szCs w:val="24"/>
          <w:lang w:val="el-GR"/>
        </w:rPr>
        <w:t>εργοδοτούνται</w:t>
      </w:r>
      <w:proofErr w:type="spellEnd"/>
      <w:r w:rsidRPr="005C6460">
        <w:rPr>
          <w:rFonts w:ascii="Arial" w:hAnsi="Arial" w:cs="Arial"/>
          <w:b/>
          <w:sz w:val="24"/>
          <w:szCs w:val="24"/>
          <w:lang w:val="el-GR"/>
        </w:rPr>
        <w:t xml:space="preserve"> σε πλοία </w:t>
      </w:r>
      <w:r w:rsidR="004377F7">
        <w:rPr>
          <w:rFonts w:ascii="Arial" w:hAnsi="Arial" w:cs="Arial"/>
          <w:b/>
          <w:sz w:val="24"/>
          <w:szCs w:val="24"/>
          <w:lang w:val="el-GR"/>
        </w:rPr>
        <w:t xml:space="preserve">τα οποία δεν είναι αγκυροβολημένα σε λιμάνι </w:t>
      </w:r>
      <w:r w:rsidRPr="005C6460">
        <w:rPr>
          <w:rFonts w:ascii="Arial" w:hAnsi="Arial" w:cs="Arial"/>
          <w:b/>
          <w:sz w:val="24"/>
          <w:szCs w:val="24"/>
          <w:lang w:val="el-GR"/>
        </w:rPr>
        <w:t xml:space="preserve">και αεροσκάφη </w:t>
      </w:r>
      <w:r w:rsidR="004377F7">
        <w:rPr>
          <w:rFonts w:ascii="Arial" w:hAnsi="Arial" w:cs="Arial"/>
          <w:b/>
          <w:sz w:val="24"/>
          <w:szCs w:val="24"/>
          <w:lang w:val="el-GR"/>
        </w:rPr>
        <w:t>τα οποία δεν είναι προσγειωμένα σε αεροδρόμιο</w:t>
      </w:r>
      <w:bookmarkStart w:id="0" w:name="_GoBack"/>
      <w:bookmarkEnd w:id="0"/>
    </w:p>
    <w:p w:rsidR="00220268" w:rsidRPr="005C6460" w:rsidRDefault="00220268" w:rsidP="00B77C33">
      <w:pPr>
        <w:pStyle w:val="ListParagraph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5C6460">
        <w:rPr>
          <w:rFonts w:ascii="Arial" w:hAnsi="Arial" w:cs="Arial"/>
          <w:b/>
          <w:sz w:val="24"/>
          <w:szCs w:val="24"/>
          <w:lang w:val="el-GR"/>
        </w:rPr>
        <w:t>Ατυχήματα σε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πρόσωπα εκτός εργασίας κατά τη διάρκεια </w:t>
      </w:r>
      <w:r w:rsidRPr="005C6460">
        <w:rPr>
          <w:rFonts w:ascii="Arial" w:hAnsi="Arial" w:cs="Arial"/>
          <w:b/>
          <w:sz w:val="24"/>
          <w:szCs w:val="24"/>
          <w:lang w:val="el-GR"/>
        </w:rPr>
        <w:t>αθλητικών δραστηριοτήτων</w:t>
      </w:r>
    </w:p>
    <w:p w:rsidR="00220268" w:rsidRPr="005C6460" w:rsidRDefault="00220268" w:rsidP="00B77C33">
      <w:pPr>
        <w:pStyle w:val="ListParagraph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5C6460">
        <w:rPr>
          <w:rFonts w:ascii="Arial" w:hAnsi="Arial" w:cs="Arial"/>
          <w:b/>
          <w:sz w:val="24"/>
          <w:szCs w:val="24"/>
          <w:lang w:val="el-GR"/>
        </w:rPr>
        <w:t>Ατυχήματα σε πρόσωπα εκτός εργασίας (ασθενείς)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κατά τη διάρκεια  </w:t>
      </w:r>
      <w:r w:rsidRPr="005C6460">
        <w:rPr>
          <w:rFonts w:ascii="Arial" w:hAnsi="Arial" w:cs="Arial"/>
          <w:b/>
          <w:sz w:val="24"/>
          <w:szCs w:val="24"/>
          <w:lang w:val="el-GR"/>
        </w:rPr>
        <w:t>δραστηριοτήτων ιατρικής φύσης</w:t>
      </w:r>
    </w:p>
    <w:p w:rsidR="00B77C33" w:rsidRPr="005C6460" w:rsidRDefault="00B77C33" w:rsidP="00B77C33">
      <w:pPr>
        <w:pStyle w:val="ListParagraph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5C6460">
        <w:rPr>
          <w:rFonts w:ascii="Arial" w:hAnsi="Arial" w:cs="Arial"/>
          <w:b/>
          <w:sz w:val="24"/>
          <w:szCs w:val="24"/>
          <w:lang w:val="el-GR"/>
        </w:rPr>
        <w:t>Ατυχήματα σε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</w:t>
      </w:r>
      <w:r w:rsidRPr="005C6460">
        <w:rPr>
          <w:rFonts w:ascii="Arial" w:hAnsi="Arial" w:cs="Arial"/>
          <w:b/>
          <w:sz w:val="24"/>
          <w:szCs w:val="24"/>
          <w:lang w:val="el-GR"/>
        </w:rPr>
        <w:t>πρόσωπα εκτός εργασίας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κατά τη διάρκεια </w:t>
      </w:r>
      <w:r w:rsidRPr="005C6460">
        <w:rPr>
          <w:rFonts w:ascii="Arial" w:hAnsi="Arial" w:cs="Arial"/>
          <w:b/>
          <w:sz w:val="24"/>
          <w:szCs w:val="24"/>
          <w:lang w:val="el-GR"/>
        </w:rPr>
        <w:t>δραστηριοτήτων διασκέδασης ή αναψυχής</w:t>
      </w:r>
    </w:p>
    <w:p w:rsidR="00A50BAA" w:rsidRPr="005C6460" w:rsidRDefault="00A50BAA" w:rsidP="00A50BAA">
      <w:pPr>
        <w:spacing w:after="0" w:line="360" w:lineRule="auto"/>
        <w:ind w:left="720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B77C33" w:rsidRPr="00E72EFF" w:rsidRDefault="00B77C33" w:rsidP="00B77C3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5C6460">
        <w:rPr>
          <w:rFonts w:ascii="Arial" w:hAnsi="Arial" w:cs="Arial"/>
          <w:b/>
          <w:sz w:val="24"/>
          <w:szCs w:val="24"/>
          <w:u w:val="single"/>
          <w:lang w:val="el-GR"/>
        </w:rPr>
        <w:t>Επέκταση της εφαρμογής</w:t>
      </w:r>
      <w:r w:rsidRPr="005C6460">
        <w:rPr>
          <w:rFonts w:ascii="Arial" w:hAnsi="Arial" w:cs="Arial"/>
          <w:b/>
          <w:sz w:val="24"/>
          <w:szCs w:val="24"/>
          <w:lang w:val="el-GR"/>
        </w:rPr>
        <w:t xml:space="preserve">  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των Κανονισμών σε κατασκευές, υποστατικά, εγκαταστάσεις, αγωγούς, εξέδρες ή πλοία όπου διεξάγονται δραστηριότητες χαρτογράφησης, έρευνας, αναζήτησης, εξόρυξης ή μεταφοράς υδρογονανθράκων στην Αποκλειστική Οικονομική Ζώνη της Κύπρου. Η πληροφόρηση για τα ατυχήματα αυτά και η γνωστοποίηση τους  θα γίνεται στο Επαρχιακό Γραφείο Επιθεώρησης Εργασίας Λευκωσίας ωσάν η Ζώνη αυτή να ανήκει στην Επαρχία Λευκωσίας. </w:t>
      </w:r>
    </w:p>
    <w:p w:rsidR="00E72EFF" w:rsidRPr="00E72EFF" w:rsidRDefault="00E72EFF" w:rsidP="00E72EFF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E72EFF" w:rsidRPr="00E72EFF" w:rsidRDefault="00E72EFF" w:rsidP="00E72EF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E72EFF">
        <w:rPr>
          <w:rFonts w:ascii="Arial" w:hAnsi="Arial" w:cs="Arial"/>
          <w:sz w:val="24"/>
          <w:szCs w:val="24"/>
          <w:lang w:val="el-GR"/>
        </w:rPr>
        <w:t xml:space="preserve">Με βάση σχετική τροποποίηση του Καν. 2 διευκρινίζεται ότι ό όρος «ατύχημα» </w:t>
      </w:r>
      <w:r w:rsidRPr="00E72EFF">
        <w:rPr>
          <w:rFonts w:ascii="Arial" w:hAnsi="Arial" w:cs="Arial"/>
          <w:b/>
          <w:sz w:val="24"/>
          <w:szCs w:val="24"/>
          <w:u w:val="single"/>
          <w:lang w:val="el-GR"/>
        </w:rPr>
        <w:t>δεν</w:t>
      </w:r>
      <w:r w:rsidRPr="00E72EFF">
        <w:rPr>
          <w:rFonts w:ascii="Arial" w:hAnsi="Arial" w:cs="Arial"/>
          <w:sz w:val="24"/>
          <w:szCs w:val="24"/>
          <w:lang w:val="el-GR"/>
        </w:rPr>
        <w:t xml:space="preserve"> περιλαμβάνει τους </w:t>
      </w:r>
      <w:r w:rsidRPr="00E72EFF">
        <w:rPr>
          <w:rFonts w:ascii="Arial" w:hAnsi="Arial" w:cs="Arial"/>
          <w:b/>
          <w:sz w:val="24"/>
          <w:szCs w:val="24"/>
          <w:u w:val="single"/>
          <w:lang w:val="el-GR"/>
        </w:rPr>
        <w:t>εσκεμμένους τραυματισμούς</w:t>
      </w:r>
      <w:r w:rsidRPr="00E72EFF">
        <w:rPr>
          <w:rFonts w:ascii="Arial" w:hAnsi="Arial" w:cs="Arial"/>
          <w:sz w:val="24"/>
          <w:szCs w:val="24"/>
          <w:lang w:val="el-GR"/>
        </w:rPr>
        <w:t xml:space="preserve"> από άλλα πρόσωπα ή </w:t>
      </w:r>
      <w:r w:rsidRPr="00E72EFF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αυτοτραυματισμούς</w:t>
      </w:r>
      <w:r w:rsidRPr="00E72EFF">
        <w:rPr>
          <w:rFonts w:ascii="Arial" w:hAnsi="Arial" w:cs="Arial"/>
          <w:sz w:val="24"/>
          <w:szCs w:val="24"/>
          <w:lang w:val="el-GR"/>
        </w:rPr>
        <w:t xml:space="preserve"> που συμβαίνουν σε εργοδοτούμενα και αυτοεργοδοτούμενα πρόσωπα</w:t>
      </w:r>
      <w:r>
        <w:rPr>
          <w:rFonts w:ascii="Arial" w:hAnsi="Arial" w:cs="Arial"/>
          <w:sz w:val="24"/>
          <w:szCs w:val="24"/>
          <w:lang w:val="el-GR"/>
        </w:rPr>
        <w:t xml:space="preserve"> καθώς επίσης και με πρόσωπα εκτός εργασίας.</w:t>
      </w:r>
    </w:p>
    <w:p w:rsidR="00E72EFF" w:rsidRPr="00E72EFF" w:rsidRDefault="00E72EFF" w:rsidP="00E72EFF">
      <w:pPr>
        <w:pStyle w:val="ListParagraph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E72EFF" w:rsidRPr="00E72EFF" w:rsidRDefault="00E72EFF" w:rsidP="00E72EFF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E72EFF">
        <w:rPr>
          <w:rFonts w:ascii="Arial" w:hAnsi="Arial" w:cs="Arial"/>
          <w:sz w:val="24"/>
          <w:szCs w:val="24"/>
          <w:lang w:val="el-GR"/>
        </w:rPr>
        <w:t>Με βάση σχετική τροποποίηση του Καν. 2 διευκρινίζεται</w:t>
      </w:r>
      <w:r>
        <w:rPr>
          <w:rFonts w:ascii="Arial" w:hAnsi="Arial" w:cs="Arial"/>
          <w:sz w:val="24"/>
          <w:szCs w:val="24"/>
          <w:lang w:val="el-GR"/>
        </w:rPr>
        <w:t xml:space="preserve"> ότι ο όρος «ατύχημα» σε σχέση με τα πρόσωπα εκτός εργασίας, αναφέρεται σε συμβάντα που προκύπτουν από </w:t>
      </w:r>
      <w:r w:rsidRPr="00E72EFF">
        <w:rPr>
          <w:rFonts w:ascii="Arial" w:hAnsi="Arial" w:cs="Arial"/>
          <w:b/>
          <w:sz w:val="24"/>
          <w:szCs w:val="24"/>
          <w:u w:val="single"/>
          <w:lang w:val="el-GR"/>
        </w:rPr>
        <w:t>ενέργειες ή παραλείψεις</w:t>
      </w:r>
      <w:r>
        <w:rPr>
          <w:rFonts w:ascii="Arial" w:hAnsi="Arial" w:cs="Arial"/>
          <w:sz w:val="24"/>
          <w:szCs w:val="24"/>
          <w:lang w:val="el-GR"/>
        </w:rPr>
        <w:t xml:space="preserve"> που πηγάζουν από τη διεύθυνση ή τη διεξαγωγή των δραστηριοτήτων σε εργασία.</w:t>
      </w:r>
    </w:p>
    <w:p w:rsidR="00A50BAA" w:rsidRPr="005C6460" w:rsidRDefault="00A50BAA" w:rsidP="00A50BA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1A005D" w:rsidRPr="005C6460" w:rsidRDefault="00A50BAA" w:rsidP="00B77C3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 xml:space="preserve">Όσον αφορά τον </w:t>
      </w:r>
      <w:r w:rsidRPr="005C6460">
        <w:rPr>
          <w:rFonts w:ascii="Arial" w:hAnsi="Arial" w:cs="Arial"/>
          <w:b/>
          <w:sz w:val="24"/>
          <w:szCs w:val="24"/>
          <w:u w:val="single"/>
          <w:lang w:val="el-GR"/>
        </w:rPr>
        <w:t>αριθμό των ημερών απουσίας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από την εργασία ως κριτήριο για γνωστοποί</w:t>
      </w:r>
      <w:r w:rsidR="00DC19DD" w:rsidRPr="005C6460">
        <w:rPr>
          <w:rFonts w:ascii="Arial" w:hAnsi="Arial" w:cs="Arial"/>
          <w:sz w:val="24"/>
          <w:szCs w:val="24"/>
          <w:lang w:val="el-GR"/>
        </w:rPr>
        <w:t>η</w:t>
      </w:r>
      <w:r w:rsidRPr="005C6460">
        <w:rPr>
          <w:rFonts w:ascii="Arial" w:hAnsi="Arial" w:cs="Arial"/>
          <w:sz w:val="24"/>
          <w:szCs w:val="24"/>
          <w:lang w:val="el-GR"/>
        </w:rPr>
        <w:t>ση μη θανατηφόρων ατυχημάτων που συμβαίνουν σε εργοδοτούμενα πρόσ</w:t>
      </w:r>
      <w:r w:rsidR="00DC19DD" w:rsidRPr="005C6460">
        <w:rPr>
          <w:rFonts w:ascii="Arial" w:hAnsi="Arial" w:cs="Arial"/>
          <w:sz w:val="24"/>
          <w:szCs w:val="24"/>
          <w:lang w:val="el-GR"/>
        </w:rPr>
        <w:t>ωπα, η σχετική παράγραφος (4(1)</w:t>
      </w:r>
      <w:r w:rsidRPr="005C6460">
        <w:rPr>
          <w:rFonts w:ascii="Arial" w:hAnsi="Arial" w:cs="Arial"/>
          <w:sz w:val="24"/>
          <w:szCs w:val="24"/>
          <w:lang w:val="el-GR"/>
        </w:rPr>
        <w:t>, μετά την τροποποίηση, θα διαβάζεται ως ακολούθως</w:t>
      </w:r>
      <w:r w:rsidR="00DC19DD" w:rsidRPr="005C6460">
        <w:rPr>
          <w:rFonts w:ascii="Arial" w:hAnsi="Arial" w:cs="Arial"/>
          <w:sz w:val="24"/>
          <w:szCs w:val="24"/>
          <w:lang w:val="el-GR"/>
        </w:rPr>
        <w:t>, αφού προστέθηκε η φράση που σημειώνεται με σκίαση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: « ….. </w:t>
      </w:r>
      <w:r w:rsidRPr="005C6460">
        <w:rPr>
          <w:rFonts w:ascii="Arial" w:hAnsi="Arial"/>
          <w:sz w:val="24"/>
          <w:szCs w:val="24"/>
          <w:lang w:val="el-GR"/>
        </w:rPr>
        <w:t xml:space="preserve">Όταν συμβεί οποιοδήποτε ατύχημα το οποίο προκαλεί απώλεια ζωής σε εργοδοτούμενο πρόσωπο ή βλάβη η οποία τον καθιστά ανίκανο για περισσότερες από τρεις ημερολογιακές ημέρες, εξαιρουμένης της ημέρας του ατυχήματος, </w:t>
      </w:r>
      <w:r w:rsidRPr="005C6460">
        <w:rPr>
          <w:rFonts w:ascii="Arial" w:hAnsi="Arial" w:cs="Arial"/>
          <w:b/>
          <w:sz w:val="24"/>
          <w:szCs w:val="24"/>
          <w:highlight w:val="lightGray"/>
          <w:u w:val="single"/>
          <w:lang w:val="el-GR"/>
        </w:rPr>
        <w:t>ανεξάρτητα αν η απουσία άρχισε αμέσως μετά το ατύχημα ή σε μεταγενέστερο χρόνο</w:t>
      </w:r>
      <w:r w:rsidRPr="005C6460">
        <w:rPr>
          <w:rFonts w:ascii="Arial" w:hAnsi="Arial"/>
          <w:sz w:val="24"/>
          <w:szCs w:val="24"/>
          <w:lang w:val="el-GR"/>
        </w:rPr>
        <w:t>, από του να εκτελεί τη συνηθισμένη του εργασία στην οποία εργοδοτείται κατά το χρόνο που αμέσως προηγείται του ατυχήματος αυτού, τότε το υπεύθυνο πρόσωπο πρέπει ….</w:t>
      </w:r>
      <w:r w:rsidR="009A19CE" w:rsidRPr="005C6460">
        <w:rPr>
          <w:rFonts w:ascii="Arial" w:hAnsi="Arial"/>
          <w:sz w:val="24"/>
          <w:szCs w:val="24"/>
          <w:lang w:val="el-GR"/>
        </w:rPr>
        <w:t>»</w:t>
      </w:r>
    </w:p>
    <w:p w:rsidR="009A19CE" w:rsidRPr="005C6460" w:rsidRDefault="009A19CE" w:rsidP="009A19CE">
      <w:pPr>
        <w:pStyle w:val="ListParagraph"/>
        <w:rPr>
          <w:rFonts w:ascii="Arial" w:hAnsi="Arial" w:cs="Arial"/>
          <w:sz w:val="24"/>
          <w:szCs w:val="24"/>
          <w:lang w:val="el-GR"/>
        </w:rPr>
      </w:pPr>
    </w:p>
    <w:p w:rsidR="009A19CE" w:rsidRPr="005C6460" w:rsidRDefault="000A1627" w:rsidP="00B77C3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 xml:space="preserve">Ο όρος </w:t>
      </w:r>
      <w:r w:rsidRPr="005C6460">
        <w:rPr>
          <w:rFonts w:ascii="Arial" w:hAnsi="Arial" w:cs="Arial"/>
          <w:b/>
          <w:sz w:val="24"/>
          <w:szCs w:val="24"/>
          <w:lang w:val="el-GR"/>
        </w:rPr>
        <w:t>«τρίτο πρόσωπο»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</w:t>
      </w:r>
      <w:r w:rsidR="00BC4706" w:rsidRPr="005C6460">
        <w:rPr>
          <w:rFonts w:ascii="Arial" w:hAnsi="Arial" w:cs="Arial"/>
          <w:sz w:val="24"/>
          <w:szCs w:val="24"/>
          <w:lang w:val="el-GR"/>
        </w:rPr>
        <w:t xml:space="preserve">στους Κανονισμούς 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αντικατάσταθηκε από τον όρο </w:t>
      </w:r>
      <w:r w:rsidRPr="005C6460">
        <w:rPr>
          <w:rFonts w:ascii="Arial" w:hAnsi="Arial" w:cs="Arial"/>
          <w:b/>
          <w:sz w:val="24"/>
          <w:szCs w:val="24"/>
          <w:lang w:val="el-GR"/>
        </w:rPr>
        <w:t>«πρόσωπο που βρίσκεται εκτός εργασίας».</w:t>
      </w:r>
    </w:p>
    <w:p w:rsidR="000A1627" w:rsidRPr="005C6460" w:rsidRDefault="000A1627" w:rsidP="000A1627">
      <w:pPr>
        <w:pStyle w:val="ListParagraph"/>
        <w:rPr>
          <w:rFonts w:ascii="Arial" w:hAnsi="Arial" w:cs="Arial"/>
          <w:b/>
          <w:sz w:val="24"/>
          <w:szCs w:val="24"/>
          <w:lang w:val="el-GR"/>
        </w:rPr>
      </w:pPr>
    </w:p>
    <w:p w:rsidR="000A1627" w:rsidRPr="005C6460" w:rsidRDefault="000A1627" w:rsidP="00B77C3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 xml:space="preserve">Η αναφορά στον </w:t>
      </w:r>
      <w:r w:rsidRPr="005C6460">
        <w:rPr>
          <w:rFonts w:ascii="Arial" w:hAnsi="Arial" w:cs="Arial"/>
          <w:b/>
          <w:sz w:val="24"/>
          <w:szCs w:val="24"/>
          <w:lang w:val="el-GR"/>
        </w:rPr>
        <w:t>Καν.4(3)(β)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των βασικών Κανονισμών που αναφέρεται στην</w:t>
      </w:r>
      <w:r w:rsidRPr="005C6460">
        <w:rPr>
          <w:rFonts w:ascii="Arial" w:hAnsi="Arial" w:cs="Arial"/>
          <w:b/>
          <w:sz w:val="24"/>
          <w:szCs w:val="24"/>
          <w:lang w:val="el-GR"/>
        </w:rPr>
        <w:t xml:space="preserve"> υποχρέωση για γραπτή γνωστοποί</w:t>
      </w:r>
      <w:r w:rsidR="00AB0CFF" w:rsidRPr="005C6460">
        <w:rPr>
          <w:rFonts w:ascii="Arial" w:hAnsi="Arial" w:cs="Arial"/>
          <w:b/>
          <w:sz w:val="24"/>
          <w:szCs w:val="24"/>
          <w:lang w:val="el-GR"/>
        </w:rPr>
        <w:t>η</w:t>
      </w:r>
      <w:r w:rsidRPr="005C6460">
        <w:rPr>
          <w:rFonts w:ascii="Arial" w:hAnsi="Arial" w:cs="Arial"/>
          <w:b/>
          <w:sz w:val="24"/>
          <w:szCs w:val="24"/>
          <w:lang w:val="el-GR"/>
        </w:rPr>
        <w:t xml:space="preserve">ση των ατυχημάτων 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έχει τροποποιηθεί </w:t>
      </w:r>
      <w:r w:rsidR="00AB0CFF" w:rsidRPr="005C6460">
        <w:rPr>
          <w:rFonts w:ascii="Arial" w:hAnsi="Arial" w:cs="Arial"/>
          <w:sz w:val="24"/>
          <w:szCs w:val="24"/>
          <w:lang w:val="el-GR"/>
        </w:rPr>
        <w:t xml:space="preserve">με τη σχετική διαγραφή και προσθήκη </w:t>
      </w:r>
      <w:r w:rsidR="0042713D" w:rsidRPr="005C6460">
        <w:rPr>
          <w:rFonts w:ascii="Arial" w:hAnsi="Arial" w:cs="Arial"/>
          <w:sz w:val="24"/>
          <w:szCs w:val="24"/>
          <w:lang w:val="el-GR"/>
        </w:rPr>
        <w:t xml:space="preserve">που φαινεται με σκίαση </w:t>
      </w:r>
      <w:r w:rsidR="00436F5D" w:rsidRPr="005C6460">
        <w:rPr>
          <w:rFonts w:ascii="Arial" w:hAnsi="Arial" w:cs="Arial"/>
          <w:sz w:val="24"/>
          <w:szCs w:val="24"/>
          <w:lang w:val="el-GR"/>
        </w:rPr>
        <w:t>ως εξής</w:t>
      </w:r>
      <w:r w:rsidR="00AB0CFF" w:rsidRPr="005C6460">
        <w:rPr>
          <w:rFonts w:ascii="Arial" w:hAnsi="Arial" w:cs="Arial"/>
          <w:b/>
          <w:sz w:val="24"/>
          <w:szCs w:val="24"/>
          <w:lang w:val="el-GR"/>
        </w:rPr>
        <w:t>: « …..</w:t>
      </w:r>
      <w:r w:rsidRPr="005C6460">
        <w:rPr>
          <w:rFonts w:ascii="Arial" w:hAnsi="Arial"/>
          <w:sz w:val="24"/>
          <w:szCs w:val="24"/>
          <w:lang w:val="el-GR"/>
        </w:rPr>
        <w:t xml:space="preserve">εντός 15 ημερών από την ημερομηνία του ατυχήματος να αποστείλει στο Επαρχιακό Γραφείο Επιθεώρησης Εργασίας της Επαρχίας όπου συνέβηκε το ατύχημα γραπτή γνωστοποίηση του ατυχήματος υποβάλλοντας </w:t>
      </w:r>
      <w:r w:rsidRPr="005C6460">
        <w:rPr>
          <w:rFonts w:ascii="Arial" w:hAnsi="Arial"/>
          <w:strike/>
          <w:sz w:val="24"/>
          <w:szCs w:val="24"/>
          <w:lang w:val="el-GR"/>
        </w:rPr>
        <w:t>κατάλληλα και πλήρως συμπληρωμένο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</w:t>
      </w: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>μ’ όσα στοιχεία, καθόσον είναι εύλογα εφικτό, μπορεί να συλλέξει</w:t>
      </w:r>
      <w:r w:rsidRPr="005C6460">
        <w:rPr>
          <w:rFonts w:ascii="Arial" w:hAnsi="Arial"/>
          <w:sz w:val="24"/>
          <w:szCs w:val="24"/>
          <w:lang w:val="el-GR"/>
        </w:rPr>
        <w:t xml:space="preserve"> το εγκεκριμένο έντυπο γνωστοποίησης ατυχήματος</w:t>
      </w:r>
      <w:r w:rsidR="00AB0CFF" w:rsidRPr="005C6460">
        <w:rPr>
          <w:rFonts w:ascii="Arial" w:hAnsi="Arial"/>
          <w:sz w:val="24"/>
          <w:szCs w:val="24"/>
          <w:lang w:val="el-GR"/>
        </w:rPr>
        <w:t>….»</w:t>
      </w:r>
      <w:r w:rsidRPr="005C6460">
        <w:rPr>
          <w:rFonts w:ascii="Arial" w:hAnsi="Arial"/>
          <w:sz w:val="24"/>
          <w:szCs w:val="24"/>
          <w:lang w:val="el-GR"/>
        </w:rPr>
        <w:t>.</w:t>
      </w:r>
      <w:r w:rsidRPr="005C6460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436F5D" w:rsidRPr="005C6460" w:rsidRDefault="00436F5D" w:rsidP="00436F5D">
      <w:pPr>
        <w:pStyle w:val="ListParagraph"/>
        <w:rPr>
          <w:rFonts w:ascii="Arial" w:hAnsi="Arial" w:cs="Arial"/>
          <w:b/>
          <w:sz w:val="24"/>
          <w:szCs w:val="24"/>
          <w:lang w:val="el-GR"/>
        </w:rPr>
      </w:pPr>
    </w:p>
    <w:p w:rsidR="00436F5D" w:rsidRPr="005C6460" w:rsidRDefault="00436F5D" w:rsidP="00B77C3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 xml:space="preserve">Η αναφορά στον </w:t>
      </w:r>
      <w:r w:rsidRPr="005C6460">
        <w:rPr>
          <w:rFonts w:ascii="Arial" w:hAnsi="Arial" w:cs="Arial"/>
          <w:b/>
          <w:sz w:val="24"/>
          <w:szCs w:val="24"/>
          <w:lang w:val="el-GR"/>
        </w:rPr>
        <w:t>Καν.10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των βασικών </w:t>
      </w:r>
      <w:r w:rsidR="00D00387" w:rsidRPr="005C6460">
        <w:rPr>
          <w:rFonts w:ascii="Arial" w:hAnsi="Arial" w:cs="Arial"/>
          <w:sz w:val="24"/>
          <w:szCs w:val="24"/>
          <w:lang w:val="el-GR"/>
        </w:rPr>
        <w:t>κ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ανονισμών που αναφέρεται στην </w:t>
      </w:r>
      <w:r w:rsidRPr="005C6460">
        <w:rPr>
          <w:rFonts w:ascii="Arial" w:hAnsi="Arial" w:cs="Arial"/>
          <w:b/>
          <w:sz w:val="24"/>
          <w:szCs w:val="24"/>
          <w:lang w:val="el-GR"/>
        </w:rPr>
        <w:t>παροχή πληροφοριών σε επηρεαζόμενα πρόσωπα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έχει τροποποιηθεί με τη σχετική προσθήκη που φαίνεται με σκίαση ως εξήςς: «… Τηρουμένων των διατάξεων του Κανονισμού 11, ο Επιθεωρητής, στα πλαίσια διερεύνησης οποιουδήποτε ατυχήματος ή επικίνδυνου συμβάντος, δύναται να παρέχει πληροφορίες σε μορφή έκθεσης </w:t>
      </w:r>
      <w:r w:rsidRPr="005C6460">
        <w:rPr>
          <w:rFonts w:ascii="Arial" w:hAnsi="Arial" w:cs="Arial"/>
          <w:sz w:val="24"/>
          <w:szCs w:val="24"/>
          <w:lang w:val="el-GR"/>
        </w:rPr>
        <w:lastRenderedPageBreak/>
        <w:t xml:space="preserve">σχετικά με το ατύχημα σε οποιοδήποτε πρόσωπο έχει επηρεαστεί ή σε εξουσιοδοτημένο αντιπρόσωπο του, νοουμένου ότι οι πληροφορίες ζητούνται εγγράφως από το πρόσωπο που έχει επηρεασθεί ή τον εξουσιοδοτούμενο αντιπρόσωπό του </w:t>
      </w: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>και καταβάλλοντας, όπου ισχύει, τα σχετικά τέλη που καθορίζονται με διάταγμα.</w:t>
      </w:r>
      <w:r w:rsidRPr="005C6460">
        <w:rPr>
          <w:rFonts w:ascii="Arial" w:hAnsi="Arial" w:cs="Arial"/>
          <w:sz w:val="24"/>
          <w:szCs w:val="24"/>
          <w:lang w:val="el-GR"/>
        </w:rPr>
        <w:t>».</w:t>
      </w:r>
    </w:p>
    <w:p w:rsidR="00D00387" w:rsidRPr="005C6460" w:rsidRDefault="00D00387" w:rsidP="00D00387">
      <w:pPr>
        <w:pStyle w:val="ListParagraph"/>
        <w:rPr>
          <w:rFonts w:ascii="Arial" w:hAnsi="Arial" w:cs="Arial"/>
          <w:b/>
          <w:sz w:val="24"/>
          <w:szCs w:val="24"/>
          <w:lang w:val="el-GR"/>
        </w:rPr>
      </w:pPr>
    </w:p>
    <w:p w:rsidR="00D00387" w:rsidRPr="005C6460" w:rsidRDefault="00D00387" w:rsidP="00B77C3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Ο Κανονισμός 11(2) των βασικών κανονισμών τροποποιήθηκε με τη διαγραφή στην παράγραφο (2) αυτού, των λέξεων «τις χίλιες λίρες» (πέμπτη γραμμή) και την αντικατάσταση του από τις λέξεις «τα 1700 Ευρώ».</w:t>
      </w:r>
    </w:p>
    <w:p w:rsidR="00D00387" w:rsidRPr="005C6460" w:rsidRDefault="00D00387" w:rsidP="00D00387">
      <w:pPr>
        <w:pStyle w:val="ListParagraph"/>
        <w:rPr>
          <w:rFonts w:ascii="Arial" w:hAnsi="Arial" w:cs="Arial"/>
          <w:b/>
          <w:sz w:val="24"/>
          <w:szCs w:val="24"/>
          <w:lang w:val="el-GR"/>
        </w:rPr>
      </w:pPr>
    </w:p>
    <w:p w:rsidR="00D00387" w:rsidRPr="005C6460" w:rsidRDefault="00E44792" w:rsidP="00B77C3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b/>
          <w:sz w:val="24"/>
          <w:szCs w:val="24"/>
          <w:lang w:val="el-GR"/>
        </w:rPr>
        <w:t>Τρο</w:t>
      </w:r>
      <w:r w:rsidR="004D5DD0">
        <w:rPr>
          <w:rFonts w:ascii="Arial" w:hAnsi="Arial" w:cs="Arial"/>
          <w:b/>
          <w:sz w:val="24"/>
          <w:szCs w:val="24"/>
          <w:lang w:val="el-GR"/>
        </w:rPr>
        <w:t>πο</w:t>
      </w:r>
      <w:r w:rsidRPr="005C6460">
        <w:rPr>
          <w:rFonts w:ascii="Arial" w:hAnsi="Arial" w:cs="Arial"/>
          <w:b/>
          <w:sz w:val="24"/>
          <w:szCs w:val="24"/>
          <w:lang w:val="el-GR"/>
        </w:rPr>
        <w:t>ποίηση του</w:t>
      </w:r>
      <w:r w:rsidR="00D00387" w:rsidRPr="005C6460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5C6460">
        <w:rPr>
          <w:rFonts w:ascii="Arial" w:hAnsi="Arial" w:cs="Arial"/>
          <w:b/>
          <w:sz w:val="24"/>
          <w:szCs w:val="24"/>
          <w:lang w:val="el-GR"/>
        </w:rPr>
        <w:t>καταλόγου</w:t>
      </w:r>
      <w:r w:rsidR="00D00387" w:rsidRPr="005C6460">
        <w:rPr>
          <w:rFonts w:ascii="Arial" w:hAnsi="Arial" w:cs="Arial"/>
          <w:b/>
          <w:sz w:val="24"/>
          <w:szCs w:val="24"/>
          <w:lang w:val="el-GR"/>
        </w:rPr>
        <w:t xml:space="preserve"> Επικίνδυνων Συμβάντων (Παράρτημα 1 – κανονισμός</w:t>
      </w:r>
      <w:r w:rsidRPr="005C6460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D00387" w:rsidRPr="005C6460">
        <w:rPr>
          <w:rFonts w:ascii="Arial" w:hAnsi="Arial" w:cs="Arial"/>
          <w:b/>
          <w:sz w:val="24"/>
          <w:szCs w:val="24"/>
          <w:lang w:val="el-GR"/>
        </w:rPr>
        <w:t xml:space="preserve">2) </w:t>
      </w:r>
      <w:r w:rsidRPr="005C6460">
        <w:rPr>
          <w:rFonts w:ascii="Arial" w:hAnsi="Arial" w:cs="Arial"/>
          <w:b/>
          <w:sz w:val="24"/>
          <w:szCs w:val="24"/>
          <w:lang w:val="el-GR"/>
        </w:rPr>
        <w:t xml:space="preserve">με την προσθήκη </w:t>
      </w:r>
      <w:r w:rsidR="00D00387" w:rsidRPr="005C6460">
        <w:rPr>
          <w:rFonts w:ascii="Arial" w:hAnsi="Arial" w:cs="Arial"/>
          <w:b/>
          <w:sz w:val="24"/>
          <w:szCs w:val="24"/>
          <w:lang w:val="el-GR"/>
        </w:rPr>
        <w:t>νέων περιπτώσεων</w:t>
      </w:r>
      <w:r w:rsidRPr="005C6460">
        <w:rPr>
          <w:rFonts w:ascii="Arial" w:hAnsi="Arial" w:cs="Arial"/>
          <w:b/>
          <w:sz w:val="24"/>
          <w:szCs w:val="24"/>
          <w:lang w:val="el-GR"/>
        </w:rPr>
        <w:t xml:space="preserve"> επικίνδυνων συμβάντων,</w:t>
      </w:r>
      <w:r w:rsidR="00D00387" w:rsidRPr="005C6460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5C6460">
        <w:rPr>
          <w:rFonts w:ascii="Arial" w:hAnsi="Arial" w:cs="Arial"/>
          <w:b/>
          <w:sz w:val="24"/>
          <w:szCs w:val="24"/>
          <w:lang w:val="el-GR"/>
        </w:rPr>
        <w:t xml:space="preserve">αλλά και </w:t>
      </w:r>
      <w:r w:rsidR="00D00387" w:rsidRPr="005C6460">
        <w:rPr>
          <w:rFonts w:ascii="Arial" w:hAnsi="Arial" w:cs="Arial"/>
          <w:b/>
          <w:sz w:val="24"/>
          <w:szCs w:val="24"/>
          <w:lang w:val="el-GR"/>
        </w:rPr>
        <w:t xml:space="preserve">άλλες αλλαγές όπως φαίνονται πιο κάτω </w:t>
      </w:r>
      <w:r w:rsidRPr="005C6460">
        <w:rPr>
          <w:rFonts w:ascii="Arial" w:hAnsi="Arial" w:cs="Arial"/>
          <w:b/>
          <w:sz w:val="24"/>
          <w:szCs w:val="24"/>
          <w:lang w:val="el-GR"/>
        </w:rPr>
        <w:t>(</w:t>
      </w:r>
      <w:r w:rsidRPr="005C6460">
        <w:rPr>
          <w:rFonts w:ascii="Arial" w:hAnsi="Arial" w:cs="Arial"/>
          <w:sz w:val="24"/>
          <w:szCs w:val="24"/>
          <w:lang w:val="el-GR"/>
        </w:rPr>
        <w:t>διαγραφές και προσθήκες που φάινονται με σκίαση)</w:t>
      </w:r>
      <w:r w:rsidR="00D00387" w:rsidRPr="005C6460">
        <w:rPr>
          <w:rFonts w:ascii="Arial" w:hAnsi="Arial" w:cs="Arial"/>
          <w:b/>
          <w:sz w:val="24"/>
          <w:szCs w:val="24"/>
          <w:lang w:val="el-GR"/>
        </w:rPr>
        <w:t>:</w:t>
      </w:r>
    </w:p>
    <w:p w:rsidR="00933598" w:rsidRPr="005C6460" w:rsidRDefault="00933598" w:rsidP="00E44792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«</w:t>
      </w:r>
      <w:r w:rsidRPr="005C6460">
        <w:rPr>
          <w:rFonts w:ascii="Arial" w:hAnsi="Arial" w:cs="Arial"/>
          <w:b/>
          <w:sz w:val="24"/>
          <w:szCs w:val="24"/>
          <w:lang w:val="el-GR"/>
        </w:rPr>
        <w:t>ΠΑΡΑΡΤΗΜΑ Ι</w:t>
      </w:r>
    </w:p>
    <w:p w:rsidR="00933598" w:rsidRPr="005C6460" w:rsidRDefault="00933598" w:rsidP="00E44792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b/>
          <w:sz w:val="24"/>
          <w:szCs w:val="24"/>
          <w:lang w:val="el-GR"/>
        </w:rPr>
        <w:t>(Κανονισμός 2)</w:t>
      </w:r>
    </w:p>
    <w:p w:rsidR="00933598" w:rsidRPr="005C6460" w:rsidRDefault="00933598" w:rsidP="00E44792">
      <w:pPr>
        <w:jc w:val="center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b/>
          <w:sz w:val="24"/>
          <w:szCs w:val="24"/>
          <w:lang w:val="el-GR"/>
        </w:rPr>
        <w:t>Κατάλογος Επικίνδυνων Συμβάντων</w:t>
      </w:r>
    </w:p>
    <w:p w:rsidR="00933598" w:rsidRPr="005C6460" w:rsidRDefault="00933598" w:rsidP="00E44792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 xml:space="preserve">1. </w:t>
      </w:r>
      <w:r w:rsidRPr="005C6460">
        <w:rPr>
          <w:rFonts w:ascii="Arial" w:hAnsi="Arial" w:cs="Arial"/>
          <w:sz w:val="24"/>
          <w:szCs w:val="24"/>
          <w:lang w:val="el-GR"/>
        </w:rPr>
        <w:tab/>
      </w:r>
      <w:r w:rsidRPr="005C6460">
        <w:rPr>
          <w:rFonts w:ascii="Arial" w:hAnsi="Arial" w:cs="Arial"/>
          <w:b/>
          <w:sz w:val="24"/>
          <w:szCs w:val="24"/>
          <w:lang w:val="el-GR"/>
        </w:rPr>
        <w:t>Κατάρρευση/ανατροπή/αστοχία εξοπλισμού</w:t>
      </w:r>
    </w:p>
    <w:p w:rsidR="00D00387" w:rsidRPr="005C6460" w:rsidRDefault="00D00387" w:rsidP="000F7620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 xml:space="preserve">Κατάρρευση ή ανατροπή ή αστοχία οποιουδήποτε μέρους ή ολόκληρου του ακόλουθου εξοπλισμού που υποβαστάζει </w:t>
      </w: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>ή μεταφέρει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φορτίο κατά τη διάρκεια της λειτουργίας του ή των προπαρασκευαστικών εργασιών για εγκατάσταση ή τοποθέτησή του πριν από την έναρξη της λειτουργίας του:</w:t>
      </w:r>
    </w:p>
    <w:p w:rsidR="00D00387" w:rsidRPr="005C6460" w:rsidRDefault="00D00387" w:rsidP="00D00387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(α) ανελκυστήρας, αναβατόριο, γερανός, κινούμενη ή σταθερή ανυψωτική εξέδρα, ανυψωτικός μηχανισμός ή</w:t>
      </w:r>
    </w:p>
    <w:p w:rsidR="00D00387" w:rsidRPr="005C6460" w:rsidRDefault="00D00387" w:rsidP="00D00387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 xml:space="preserve">(β) </w:t>
      </w:r>
      <w:r w:rsidRPr="005C6460">
        <w:rPr>
          <w:rFonts w:ascii="Arial" w:hAnsi="Arial" w:cs="Arial"/>
          <w:strike/>
          <w:sz w:val="24"/>
          <w:szCs w:val="24"/>
          <w:lang w:val="el-GR"/>
        </w:rPr>
        <w:t>εκσκαφέ</w:t>
      </w:r>
      <w:r w:rsidR="000F7620" w:rsidRPr="005C6460">
        <w:rPr>
          <w:rFonts w:ascii="Arial" w:hAnsi="Arial" w:cs="Arial"/>
          <w:strike/>
          <w:sz w:val="24"/>
          <w:szCs w:val="24"/>
          <w:lang w:val="el-GR"/>
        </w:rPr>
        <w:t>α</w:t>
      </w:r>
      <w:r w:rsidRPr="005C6460">
        <w:rPr>
          <w:rFonts w:ascii="Arial" w:hAnsi="Arial" w:cs="Arial"/>
          <w:strike/>
          <w:sz w:val="24"/>
          <w:szCs w:val="24"/>
          <w:lang w:val="el-GR"/>
        </w:rPr>
        <w:t>ς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</w:t>
      </w: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>εκσκαφέα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ή</w:t>
      </w:r>
    </w:p>
    <w:p w:rsidR="00D00387" w:rsidRPr="005C6460" w:rsidRDefault="00D00387" w:rsidP="00D00387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(γ) διατρητικό μηχάνημα</w:t>
      </w:r>
      <w:r w:rsidRPr="005C6460">
        <w:rPr>
          <w:rFonts w:ascii="Arial" w:hAnsi="Arial" w:cs="Arial"/>
          <w:strike/>
          <w:sz w:val="24"/>
          <w:szCs w:val="24"/>
          <w:lang w:val="el-GR"/>
        </w:rPr>
        <w:t>.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</w:t>
      </w: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>ή</w:t>
      </w:r>
    </w:p>
    <w:p w:rsidR="00D00387" w:rsidRPr="005C6460" w:rsidRDefault="00D00387" w:rsidP="00D00387">
      <w:pPr>
        <w:pStyle w:val="ListParagraph"/>
        <w:tabs>
          <w:tab w:val="left" w:pos="426"/>
        </w:tabs>
        <w:ind w:left="90" w:hanging="90"/>
        <w:jc w:val="both"/>
        <w:rPr>
          <w:rFonts w:ascii="Arial" w:hAnsi="Arial" w:cs="Arial"/>
          <w:sz w:val="24"/>
          <w:szCs w:val="24"/>
          <w:highlight w:val="lightGray"/>
          <w:lang w:val="el-GR"/>
        </w:rPr>
      </w:pP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>(δ) όχημα βαρετού τύπου μεταφοράς φορτίων, όπως βυτιοφόρο όχημα, φορτηγό όχημα, όχημα μεταφοράς και ανάμειξης έτοιμου σκυροδέματος («μπετονιέρα») κ.λπ ή</w:t>
      </w:r>
    </w:p>
    <w:p w:rsidR="00D00387" w:rsidRPr="005C6460" w:rsidRDefault="00D00387" w:rsidP="00D00387">
      <w:pPr>
        <w:pStyle w:val="ListParagraph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highlight w:val="lightGray"/>
          <w:lang w:val="el-GR"/>
        </w:rPr>
      </w:pPr>
    </w:p>
    <w:p w:rsidR="00D00387" w:rsidRPr="005C6460" w:rsidRDefault="00D00387" w:rsidP="00D00387">
      <w:pPr>
        <w:pStyle w:val="ListParagraph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highlight w:val="lightGray"/>
          <w:lang w:val="el-GR"/>
        </w:rPr>
      </w:pP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>(ε) περονοφόρο όχημα ή</w:t>
      </w:r>
    </w:p>
    <w:p w:rsidR="00D00387" w:rsidRPr="005C6460" w:rsidRDefault="00D00387" w:rsidP="00D00387">
      <w:pPr>
        <w:pStyle w:val="ListParagraph"/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  <w:highlight w:val="lightGray"/>
          <w:lang w:val="el-GR"/>
        </w:rPr>
      </w:pPr>
    </w:p>
    <w:p w:rsidR="00D00387" w:rsidRPr="005C6460" w:rsidRDefault="000F7620" w:rsidP="00D00387">
      <w:pPr>
        <w:jc w:val="both"/>
        <w:rPr>
          <w:rFonts w:ascii="Arial" w:hAnsi="Arial" w:cs="Arial"/>
          <w:sz w:val="24"/>
          <w:szCs w:val="24"/>
          <w:highlight w:val="lightGray"/>
          <w:lang w:val="el-GR"/>
        </w:rPr>
      </w:pP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>(στ) αντλία σκυροδέματος ή</w:t>
      </w:r>
    </w:p>
    <w:p w:rsidR="000F7620" w:rsidRPr="005C6460" w:rsidRDefault="000F7620" w:rsidP="00D00387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>(ζ) μηχάνημα τοποθέτησης πασσάλων (θεμελίωσης ή αντιστήριξης).</w:t>
      </w:r>
    </w:p>
    <w:p w:rsidR="00D00387" w:rsidRPr="005C6460" w:rsidRDefault="00D00387" w:rsidP="00D00387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2.</w:t>
      </w:r>
      <w:r w:rsidRPr="005C6460">
        <w:rPr>
          <w:rFonts w:ascii="Arial" w:hAnsi="Arial" w:cs="Arial"/>
          <w:sz w:val="24"/>
          <w:szCs w:val="24"/>
          <w:lang w:val="el-GR"/>
        </w:rPr>
        <w:tab/>
      </w:r>
      <w:r w:rsidRPr="005C6460">
        <w:rPr>
          <w:rFonts w:ascii="Arial" w:hAnsi="Arial" w:cs="Arial"/>
          <w:b/>
          <w:sz w:val="24"/>
          <w:szCs w:val="24"/>
          <w:lang w:val="el-GR"/>
        </w:rPr>
        <w:t>Κατάρρευση ικριώματος</w:t>
      </w:r>
    </w:p>
    <w:p w:rsidR="00D00387" w:rsidRPr="005C6460" w:rsidRDefault="00D00387" w:rsidP="00D00387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lastRenderedPageBreak/>
        <w:t>Η πλήρης ή μερική κατάρρευση οποιουδήποτε ικριώματος ύψους πέραν των πέντε μέτρων που οδηγεί στην πτώση ή ανατροπή ουσιαστικού μέρους του ικριώματος, περιλαμβανομένης, στην περίπτωση που το ικρίωμα είναι κρεμαστό ή ανυψούμενο ή καταβιβαζόμενο δια βαρούλκων, της πλήρους ή μερικής κατάρρευσης οποιωνδήποτε μέσων ανάρτησης, με αποτέλεσμα την πτώση της εξέδρας εργασίας από ύψος πέραν των πέντε μέτρων.</w:t>
      </w:r>
    </w:p>
    <w:p w:rsidR="00D00387" w:rsidRPr="005C6460" w:rsidRDefault="00D00387" w:rsidP="00D00387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3.</w:t>
      </w:r>
      <w:r w:rsidRPr="005C6460">
        <w:rPr>
          <w:rFonts w:ascii="Arial" w:hAnsi="Arial" w:cs="Arial"/>
          <w:sz w:val="24"/>
          <w:szCs w:val="24"/>
          <w:lang w:val="el-GR"/>
        </w:rPr>
        <w:tab/>
      </w:r>
      <w:r w:rsidRPr="005C6460">
        <w:rPr>
          <w:rFonts w:ascii="Arial" w:hAnsi="Arial" w:cs="Arial"/>
          <w:b/>
          <w:sz w:val="24"/>
          <w:szCs w:val="24"/>
          <w:lang w:val="el-GR"/>
        </w:rPr>
        <w:t>Κατάρρευση κτιρίου ή κατασκευής</w:t>
      </w:r>
    </w:p>
    <w:p w:rsidR="00D00387" w:rsidRPr="005C6460" w:rsidRDefault="00D00387" w:rsidP="00D00387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Πλήρης ή μερική κατάρρευση:</w:t>
      </w:r>
    </w:p>
    <w:p w:rsidR="00D00387" w:rsidRPr="005C6460" w:rsidRDefault="00D00387" w:rsidP="00D00387">
      <w:pPr>
        <w:numPr>
          <w:ilvl w:val="0"/>
          <w:numId w:val="12"/>
        </w:numPr>
        <w:tabs>
          <w:tab w:val="clear" w:pos="1080"/>
          <w:tab w:val="num" w:pos="1170"/>
        </w:tabs>
        <w:spacing w:after="0" w:line="240" w:lineRule="auto"/>
        <w:ind w:left="1170"/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οποιουδήποτε κτιρίου ή κατασκευής πάνω ή κάτω από το επίπεδο του εδάφους, που βρίσκεται υπό κατασκευή, ανακατασκευή, μετατροπή, συντήρηση ή κατεδάφιση και η οποία προκαλεί την πτώση ποσότητας υλικών πέραν των πέντε (5) τόνων ή</w:t>
      </w:r>
    </w:p>
    <w:p w:rsidR="00D00387" w:rsidRPr="005C6460" w:rsidRDefault="00D00387" w:rsidP="00D00387">
      <w:pPr>
        <w:numPr>
          <w:ilvl w:val="0"/>
          <w:numId w:val="12"/>
        </w:numPr>
        <w:tabs>
          <w:tab w:val="clear" w:pos="1080"/>
          <w:tab w:val="num" w:pos="1170"/>
        </w:tabs>
        <w:spacing w:after="0" w:line="240" w:lineRule="auto"/>
        <w:ind w:left="1170"/>
        <w:jc w:val="both"/>
        <w:rPr>
          <w:rFonts w:ascii="Arial" w:hAnsi="Arial" w:cs="Arial"/>
          <w:strike/>
          <w:sz w:val="24"/>
          <w:szCs w:val="24"/>
          <w:highlight w:val="lightGray"/>
          <w:lang w:val="el-GR"/>
        </w:rPr>
      </w:pPr>
      <w:r w:rsidRPr="005C6460">
        <w:rPr>
          <w:rFonts w:ascii="Arial" w:hAnsi="Arial" w:cs="Arial"/>
          <w:strike/>
          <w:sz w:val="24"/>
          <w:szCs w:val="24"/>
          <w:lang w:val="el-GR"/>
        </w:rPr>
        <w:t xml:space="preserve">οποιουδήποτε δαπέδου, τοίχου ή άλλου στοιχείου της κατασκευής, (είτε βρίσκεται πάνω ή κάτω από το επίπεδο του εδάφους) και χρησιμοποιείται ως χώρος εργασίας ή </w:t>
      </w:r>
    </w:p>
    <w:p w:rsidR="00D00387" w:rsidRPr="005C6460" w:rsidRDefault="00D00387" w:rsidP="00D00387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  <w:highlight w:val="lightGray"/>
          <w:lang w:val="el-GR"/>
        </w:rPr>
      </w:pP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>οποιουδήποτε δαπέδου, τοίχου ή άλλου στοιχείου κτιρίου ή κατασκευής, (είτε βρίσκεται πάνω ή κάτω από το επίπεδο του εδάφους) που χρησιμοποιείται ως χώρος εργασίας ή</w:t>
      </w:r>
    </w:p>
    <w:p w:rsidR="00D00387" w:rsidRPr="005C6460" w:rsidRDefault="00D00387" w:rsidP="00D00387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οποιασδήποτε προσωρινής κατασκευής.</w:t>
      </w:r>
    </w:p>
    <w:p w:rsidR="00D00387" w:rsidRPr="005C6460" w:rsidRDefault="00D00387" w:rsidP="00D00387">
      <w:pPr>
        <w:jc w:val="both"/>
        <w:rPr>
          <w:rFonts w:ascii="Arial" w:hAnsi="Arial" w:cs="Arial"/>
          <w:sz w:val="24"/>
          <w:szCs w:val="24"/>
          <w:lang w:val="el-GR"/>
        </w:rPr>
      </w:pPr>
    </w:p>
    <w:p w:rsidR="00D00387" w:rsidRPr="005C6460" w:rsidRDefault="00D00387" w:rsidP="00D00387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4.</w:t>
      </w:r>
      <w:r w:rsidRPr="005C6460">
        <w:rPr>
          <w:rFonts w:ascii="Arial" w:hAnsi="Arial" w:cs="Arial"/>
          <w:sz w:val="24"/>
          <w:szCs w:val="24"/>
          <w:lang w:val="el-GR"/>
        </w:rPr>
        <w:tab/>
      </w:r>
      <w:r w:rsidRPr="005C6460">
        <w:rPr>
          <w:rFonts w:ascii="Arial" w:hAnsi="Arial" w:cs="Arial"/>
          <w:b/>
          <w:sz w:val="24"/>
          <w:szCs w:val="24"/>
          <w:lang w:val="el-GR"/>
        </w:rPr>
        <w:t>Υποχώρηση εδάφους</w:t>
      </w:r>
    </w:p>
    <w:p w:rsidR="00D00387" w:rsidRPr="005C6460" w:rsidRDefault="00D00387" w:rsidP="00D00387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Οποιαδήποτε υποχώρηση του εδάφους, η οποία προκύπτει από έλλειψη ή αστοχία του συστήματος υποστήριξης και η οποία θα μπορούσε να θέσει σε κίνδυνο οποιοδήποτε πρόσωπο.</w:t>
      </w:r>
    </w:p>
    <w:p w:rsidR="00D00387" w:rsidRPr="005C6460" w:rsidRDefault="00D00387" w:rsidP="00D00387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5.</w:t>
      </w:r>
      <w:r w:rsidRPr="005C6460">
        <w:rPr>
          <w:rFonts w:ascii="Arial" w:hAnsi="Arial" w:cs="Arial"/>
          <w:sz w:val="24"/>
          <w:szCs w:val="24"/>
          <w:lang w:val="el-GR"/>
        </w:rPr>
        <w:tab/>
      </w:r>
      <w:r w:rsidRPr="005C6460">
        <w:rPr>
          <w:rFonts w:ascii="Arial" w:hAnsi="Arial" w:cs="Arial"/>
          <w:b/>
          <w:sz w:val="24"/>
          <w:szCs w:val="24"/>
          <w:lang w:val="el-GR"/>
        </w:rPr>
        <w:t>Δοχεία υπό πίεση</w:t>
      </w:r>
    </w:p>
    <w:p w:rsidR="00D00387" w:rsidRPr="005C6460" w:rsidRDefault="00D00387" w:rsidP="00D00387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Έκρηξη ή διάρρηξη οποιουδήποτε κλειστού δοχείου συμπεριλαμβανομένου λέβητα ατμού ή θερμού νερού ή των αυλών του λέβητα, εντός των οποίων η εσωτερική πίεση ήταν ψηλότερη ή χαμηλότερη της ατμοσφαιρικής πίεσης.</w:t>
      </w:r>
    </w:p>
    <w:p w:rsidR="00D00387" w:rsidRPr="005C6460" w:rsidRDefault="00D00387" w:rsidP="00D00387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6.</w:t>
      </w:r>
      <w:r w:rsidRPr="005C6460">
        <w:rPr>
          <w:rFonts w:ascii="Arial" w:hAnsi="Arial" w:cs="Arial"/>
          <w:sz w:val="24"/>
          <w:szCs w:val="24"/>
          <w:lang w:val="el-GR"/>
        </w:rPr>
        <w:tab/>
      </w:r>
      <w:r w:rsidRPr="005C6460">
        <w:rPr>
          <w:rFonts w:ascii="Arial" w:hAnsi="Arial" w:cs="Arial"/>
          <w:b/>
          <w:sz w:val="24"/>
          <w:szCs w:val="24"/>
          <w:lang w:val="el-GR"/>
        </w:rPr>
        <w:t>Ηλεκτρικό βραχυκύκλωμα</w:t>
      </w:r>
    </w:p>
    <w:p w:rsidR="00D00387" w:rsidRPr="005C6460" w:rsidRDefault="00D00387" w:rsidP="00D00387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trike/>
          <w:sz w:val="24"/>
          <w:szCs w:val="24"/>
          <w:lang w:val="el-GR"/>
        </w:rPr>
        <w:t>Ηλεκτρονικό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</w:t>
      </w: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>Ηλεκτρικό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βραχυκύκλωμα ή υπερφόρτωση σε ηλεκτρικό εξοπλισμό, καλώδια ή συσκευή ή σε μηχάνημα, ακολουθούμενο από πυρκαγιά ή έκρηξη που είχε ως αποτέλεσμα τη διακοπή των εργασιών που σχετίζονται με αυτό τον εξοπλισμό, τα καλώδια, τη συσκευή ή το μηχάνημα για χρονική περίοδο πέραν των 5 ωρών.</w:t>
      </w:r>
    </w:p>
    <w:p w:rsidR="00D00387" w:rsidRPr="005C6460" w:rsidRDefault="00D00387" w:rsidP="00D00387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7.</w:t>
      </w:r>
      <w:r w:rsidRPr="005C6460">
        <w:rPr>
          <w:rFonts w:ascii="Arial" w:hAnsi="Arial" w:cs="Arial"/>
          <w:sz w:val="24"/>
          <w:szCs w:val="24"/>
          <w:lang w:val="el-GR"/>
        </w:rPr>
        <w:tab/>
      </w:r>
      <w:r w:rsidRPr="005C6460">
        <w:rPr>
          <w:rFonts w:ascii="Arial" w:hAnsi="Arial" w:cs="Arial"/>
          <w:b/>
          <w:sz w:val="24"/>
          <w:szCs w:val="24"/>
          <w:lang w:val="el-GR"/>
        </w:rPr>
        <w:t>Έκρηξη η πυρκαγιά</w:t>
      </w:r>
    </w:p>
    <w:p w:rsidR="00D00387" w:rsidRPr="005C6460" w:rsidRDefault="00D00387" w:rsidP="00D00387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Έκρηξη ή πυρκαγιά που είχε ως αποτέλεσμα τη διακοπή των εργασιών για χρονική περίοδο πέραν των 24 ωρών.</w:t>
      </w:r>
    </w:p>
    <w:p w:rsidR="00D00387" w:rsidRPr="005C6460" w:rsidRDefault="00D00387" w:rsidP="00D00387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8.</w:t>
      </w:r>
      <w:r w:rsidRPr="005C6460">
        <w:rPr>
          <w:rFonts w:ascii="Arial" w:hAnsi="Arial" w:cs="Arial"/>
          <w:sz w:val="24"/>
          <w:szCs w:val="24"/>
          <w:lang w:val="el-GR"/>
        </w:rPr>
        <w:tab/>
      </w:r>
      <w:r w:rsidRPr="005C6460">
        <w:rPr>
          <w:rFonts w:ascii="Arial" w:hAnsi="Arial" w:cs="Arial"/>
          <w:b/>
          <w:sz w:val="24"/>
          <w:szCs w:val="24"/>
          <w:lang w:val="el-GR"/>
        </w:rPr>
        <w:t>Εναέριες ηλεκτρικές γραμμές</w:t>
      </w:r>
    </w:p>
    <w:p w:rsidR="00D00387" w:rsidRPr="005C6460" w:rsidRDefault="00D00387" w:rsidP="00D00387">
      <w:pPr>
        <w:jc w:val="both"/>
        <w:rPr>
          <w:rFonts w:ascii="Arial" w:hAnsi="Arial" w:cs="Arial"/>
          <w:strike/>
          <w:sz w:val="24"/>
          <w:szCs w:val="24"/>
          <w:lang w:val="el-GR"/>
        </w:rPr>
      </w:pPr>
      <w:r w:rsidRPr="005C6460">
        <w:rPr>
          <w:rFonts w:ascii="Arial" w:hAnsi="Arial" w:cs="Arial"/>
          <w:strike/>
          <w:sz w:val="24"/>
          <w:szCs w:val="24"/>
          <w:lang w:val="el-GR"/>
        </w:rPr>
        <w:t>Οποιοδήποτε γεγονός όπου πρόσωπα, εγκαταστάσεις, υλικά ή εξοπλισμός:</w:t>
      </w:r>
    </w:p>
    <w:p w:rsidR="00D00387" w:rsidRPr="005C6460" w:rsidRDefault="00D00387" w:rsidP="00D0038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  <w:lang w:val="el-GR"/>
        </w:rPr>
      </w:pPr>
      <w:r w:rsidRPr="005C6460">
        <w:rPr>
          <w:rFonts w:ascii="Arial" w:hAnsi="Arial" w:cs="Arial"/>
          <w:strike/>
          <w:sz w:val="24"/>
          <w:szCs w:val="24"/>
          <w:lang w:val="el-GR"/>
        </w:rPr>
        <w:lastRenderedPageBreak/>
        <w:t>έρχονται σε επαφή με εναέρια ηλεκτρική γραμμή στην οποία η τάση υπερβαίνει τα 200 βολτ ή</w:t>
      </w:r>
    </w:p>
    <w:p w:rsidR="00D00387" w:rsidRPr="005C6460" w:rsidRDefault="00D00387" w:rsidP="00D0038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trike/>
          <w:sz w:val="24"/>
          <w:szCs w:val="24"/>
          <w:lang w:val="el-GR"/>
        </w:rPr>
        <w:t>προκαλούν ηλεκτρική εκκένωση από μια τέτοια ηλεκτρική γραμμή όταν έρθουν σε κοντινή απόσταση προς αυτή</w:t>
      </w:r>
      <w:r w:rsidRPr="005C6460">
        <w:rPr>
          <w:rFonts w:ascii="Arial" w:hAnsi="Arial" w:cs="Arial"/>
          <w:sz w:val="24"/>
          <w:szCs w:val="24"/>
          <w:lang w:val="el-GR"/>
        </w:rPr>
        <w:t>.</w:t>
      </w:r>
    </w:p>
    <w:p w:rsidR="00D00387" w:rsidRPr="005C6460" w:rsidRDefault="00632DDB" w:rsidP="00D00387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 xml:space="preserve">Οποιοδήποτε γεγονός προκαλεί ηλεκτρική εκκένωση όταν πρόσωπα, εγκαταστάσεις, υλικά, μηχανήματα ή εξοπλισμός έρχονται σε επαφή ή σε κοντινή απόσταση με εναέρια ή υπόγεια ηλεκτρική γραμμή στην οποία η τάση υπερβαίνει τα 200 </w:t>
      </w:r>
      <w:r w:rsidRPr="005C6460">
        <w:rPr>
          <w:rFonts w:ascii="Arial" w:hAnsi="Arial" w:cs="Arial"/>
          <w:sz w:val="24"/>
          <w:szCs w:val="24"/>
          <w:highlight w:val="lightGray"/>
        </w:rPr>
        <w:t>Volt</w:t>
      </w: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>.</w:t>
      </w:r>
    </w:p>
    <w:p w:rsidR="00D00387" w:rsidRPr="005C6460" w:rsidRDefault="00D00387" w:rsidP="00D00387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9.</w:t>
      </w:r>
      <w:r w:rsidRPr="005C6460">
        <w:rPr>
          <w:rFonts w:ascii="Arial" w:hAnsi="Arial" w:cs="Arial"/>
          <w:sz w:val="24"/>
          <w:szCs w:val="24"/>
          <w:lang w:val="el-GR"/>
        </w:rPr>
        <w:tab/>
      </w:r>
      <w:r w:rsidRPr="005C6460">
        <w:rPr>
          <w:rFonts w:ascii="Arial" w:hAnsi="Arial" w:cs="Arial"/>
          <w:b/>
          <w:sz w:val="24"/>
          <w:szCs w:val="24"/>
          <w:lang w:val="el-GR"/>
        </w:rPr>
        <w:t>Διαρροή εύφλεκτων ουσιών ή παρασκευασμάτων</w:t>
      </w:r>
    </w:p>
    <w:p w:rsidR="00D00387" w:rsidRPr="005C6460" w:rsidRDefault="00D00387" w:rsidP="00D00387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Η ξαφνική και ανεξέλεγκτη διαρροή:</w:t>
      </w:r>
    </w:p>
    <w:p w:rsidR="00D00387" w:rsidRPr="005C6460" w:rsidRDefault="00D00387" w:rsidP="00D00387">
      <w:pPr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(α)</w:t>
      </w:r>
      <w:r w:rsidRPr="005C6460">
        <w:rPr>
          <w:rFonts w:ascii="Arial" w:hAnsi="Arial" w:cs="Arial"/>
          <w:sz w:val="24"/>
          <w:szCs w:val="24"/>
          <w:lang w:val="el-GR"/>
        </w:rPr>
        <w:tab/>
        <w:t>εντός κτιρίου</w:t>
      </w:r>
    </w:p>
    <w:p w:rsidR="00D00387" w:rsidRPr="005C6460" w:rsidRDefault="00D00387" w:rsidP="00D00387">
      <w:pPr>
        <w:tabs>
          <w:tab w:val="left" w:pos="720"/>
          <w:tab w:val="left" w:pos="960"/>
        </w:tabs>
        <w:ind w:left="1440" w:hanging="1440"/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 xml:space="preserve">           </w:t>
      </w:r>
      <w:r w:rsidRPr="005C6460">
        <w:rPr>
          <w:rFonts w:ascii="Arial" w:hAnsi="Arial" w:cs="Arial"/>
          <w:sz w:val="24"/>
          <w:szCs w:val="24"/>
        </w:rPr>
        <w:t>i</w:t>
      </w:r>
      <w:r w:rsidRPr="005C6460">
        <w:rPr>
          <w:rFonts w:ascii="Arial" w:hAnsi="Arial" w:cs="Arial"/>
          <w:sz w:val="24"/>
          <w:szCs w:val="24"/>
          <w:lang w:val="el-GR"/>
        </w:rPr>
        <w:t>.</w:t>
      </w:r>
      <w:r w:rsidRPr="005C6460">
        <w:rPr>
          <w:rFonts w:ascii="Arial" w:hAnsi="Arial" w:cs="Arial"/>
          <w:sz w:val="24"/>
          <w:szCs w:val="24"/>
          <w:lang w:val="el-GR"/>
        </w:rPr>
        <w:tab/>
      </w:r>
      <w:r w:rsidRPr="005C6460">
        <w:rPr>
          <w:rFonts w:ascii="Arial" w:hAnsi="Arial" w:cs="Arial"/>
          <w:sz w:val="24"/>
          <w:szCs w:val="24"/>
          <w:lang w:val="el-GR"/>
        </w:rPr>
        <w:tab/>
        <w:t xml:space="preserve">ποσότητας ίσης ή μεγαλύτερης των 100 </w:t>
      </w:r>
      <w:r w:rsidRPr="005C6460">
        <w:rPr>
          <w:rFonts w:ascii="Arial" w:hAnsi="Arial" w:cs="Arial"/>
          <w:sz w:val="24"/>
          <w:szCs w:val="24"/>
        </w:rPr>
        <w:t>kg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εύφλεκτης ή πολύ εύφλεκτης ουσίας ή παρασκευάσματος ή </w:t>
      </w:r>
    </w:p>
    <w:p w:rsidR="00D00387" w:rsidRPr="005C6460" w:rsidRDefault="00D00387" w:rsidP="00D00387">
      <w:pPr>
        <w:ind w:left="1440" w:hanging="1440"/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 xml:space="preserve">          </w:t>
      </w:r>
      <w:r w:rsidRPr="005C6460">
        <w:rPr>
          <w:rFonts w:ascii="Arial" w:hAnsi="Arial" w:cs="Arial"/>
          <w:sz w:val="24"/>
          <w:szCs w:val="24"/>
        </w:rPr>
        <w:t>ii</w:t>
      </w:r>
      <w:r w:rsidRPr="005C6460">
        <w:rPr>
          <w:rFonts w:ascii="Arial" w:hAnsi="Arial" w:cs="Arial"/>
          <w:sz w:val="24"/>
          <w:szCs w:val="24"/>
          <w:lang w:val="el-GR"/>
        </w:rPr>
        <w:t>.</w:t>
      </w:r>
      <w:r w:rsidRPr="005C6460">
        <w:rPr>
          <w:rFonts w:ascii="Arial" w:hAnsi="Arial" w:cs="Arial"/>
          <w:sz w:val="24"/>
          <w:szCs w:val="24"/>
          <w:lang w:val="el-GR"/>
        </w:rPr>
        <w:tab/>
        <w:t xml:space="preserve">ποσότητας ίσης ή μεγαλύτερης των 10 </w:t>
      </w:r>
      <w:r w:rsidRPr="005C6460">
        <w:rPr>
          <w:rFonts w:ascii="Arial" w:hAnsi="Arial" w:cs="Arial"/>
          <w:sz w:val="24"/>
          <w:szCs w:val="24"/>
        </w:rPr>
        <w:t>kg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εύφλεκτης ή πολύ εύφλεκτης ουσίας ή παρασκευάσματος, σε θερμοκρασία πάνω από το κανονικό σημείο βρασμού του ή</w:t>
      </w:r>
    </w:p>
    <w:p w:rsidR="00D00387" w:rsidRPr="005C6460" w:rsidRDefault="00D00387" w:rsidP="00D00387">
      <w:pPr>
        <w:tabs>
          <w:tab w:val="left" w:pos="840"/>
        </w:tabs>
        <w:ind w:left="1440" w:hanging="1440"/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 xml:space="preserve">          </w:t>
      </w:r>
      <w:r w:rsidRPr="005C6460">
        <w:rPr>
          <w:rFonts w:ascii="Arial" w:hAnsi="Arial" w:cs="Arial"/>
          <w:sz w:val="24"/>
          <w:szCs w:val="24"/>
        </w:rPr>
        <w:t>iii</w:t>
      </w:r>
      <w:r w:rsidRPr="005C6460">
        <w:rPr>
          <w:rFonts w:ascii="Arial" w:hAnsi="Arial" w:cs="Arial"/>
          <w:sz w:val="24"/>
          <w:szCs w:val="24"/>
          <w:lang w:val="el-GR"/>
        </w:rPr>
        <w:t>.</w:t>
      </w:r>
      <w:r w:rsidRPr="005C6460">
        <w:rPr>
          <w:rFonts w:ascii="Arial" w:hAnsi="Arial" w:cs="Arial"/>
          <w:sz w:val="24"/>
          <w:szCs w:val="24"/>
          <w:lang w:val="el-GR"/>
        </w:rPr>
        <w:tab/>
        <w:t xml:space="preserve">ποσότητας ίσης ή μεγαλύτερης των 10 </w:t>
      </w:r>
      <w:r w:rsidRPr="005C6460">
        <w:rPr>
          <w:rFonts w:ascii="Arial" w:hAnsi="Arial" w:cs="Arial"/>
          <w:sz w:val="24"/>
          <w:szCs w:val="24"/>
        </w:rPr>
        <w:t>kg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εξαιρετικά εύφλεκτης ουσίας ή παρασκευάσματος ή </w:t>
      </w:r>
    </w:p>
    <w:p w:rsidR="00D00387" w:rsidRPr="005C6460" w:rsidRDefault="00D00387" w:rsidP="00D00387">
      <w:pPr>
        <w:tabs>
          <w:tab w:val="left" w:pos="840"/>
        </w:tabs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(β)</w:t>
      </w:r>
      <w:r w:rsidRPr="005C6460">
        <w:rPr>
          <w:rFonts w:ascii="Arial" w:hAnsi="Arial" w:cs="Arial"/>
          <w:sz w:val="24"/>
          <w:szCs w:val="24"/>
          <w:lang w:val="el-GR"/>
        </w:rPr>
        <w:tab/>
        <w:t xml:space="preserve">σε ανοικτό χώρο, ποσότητας ίσης ή μεγαλύτερης των 500 </w:t>
      </w:r>
      <w:r w:rsidRPr="005C6460">
        <w:rPr>
          <w:rFonts w:ascii="Arial" w:hAnsi="Arial" w:cs="Arial"/>
          <w:sz w:val="24"/>
          <w:szCs w:val="24"/>
        </w:rPr>
        <w:t>kg</w:t>
      </w:r>
      <w:r w:rsidRPr="005C6460">
        <w:rPr>
          <w:rFonts w:ascii="Arial" w:hAnsi="Arial" w:cs="Arial"/>
          <w:sz w:val="24"/>
          <w:szCs w:val="24"/>
          <w:lang w:val="el-GR"/>
        </w:rPr>
        <w:t xml:space="preserve"> οποιασδήποτε </w:t>
      </w:r>
      <w:r w:rsidRPr="005C6460">
        <w:rPr>
          <w:rFonts w:ascii="Arial" w:hAnsi="Arial" w:cs="Arial"/>
          <w:sz w:val="24"/>
          <w:szCs w:val="24"/>
          <w:lang w:val="el-GR"/>
        </w:rPr>
        <w:tab/>
        <w:t xml:space="preserve">ουσίας ή παρασκευάσματος που αναφέρεται στην υποπαράγραφο (α) πιο </w:t>
      </w:r>
      <w:r w:rsidRPr="005C6460">
        <w:rPr>
          <w:rFonts w:ascii="Arial" w:hAnsi="Arial" w:cs="Arial"/>
          <w:sz w:val="24"/>
          <w:szCs w:val="24"/>
          <w:lang w:val="el-GR"/>
        </w:rPr>
        <w:tab/>
        <w:t>πάνω.</w:t>
      </w:r>
    </w:p>
    <w:p w:rsidR="00D00387" w:rsidRPr="005C6460" w:rsidRDefault="00D00387" w:rsidP="00D00387">
      <w:pPr>
        <w:tabs>
          <w:tab w:val="left" w:pos="840"/>
        </w:tabs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 xml:space="preserve">Στην παράγραφο αυτή, «εύφλεκτη» ή «πολύ εύφλεκτη» ή «εξαιρετικά εύφλεκτη» ουσία ή παρασκεύασμα σημαίνει αντίστοιχα ουσία ή παρασκεύασμα που ταξινομείται έτσι σύμφωνα με </w:t>
      </w:r>
      <w:r w:rsidRPr="005C6460">
        <w:rPr>
          <w:rFonts w:ascii="Arial" w:hAnsi="Arial" w:cs="Arial"/>
          <w:strike/>
          <w:sz w:val="24"/>
          <w:szCs w:val="24"/>
          <w:lang w:val="el-GR"/>
        </w:rPr>
        <w:t>τις παραγράφους (ε), (δ) και (γ) αντίστοιχα του Κανονισμού 2 των περί Επικίνδυνων Ουσιών (Ταξινόμηση, Συσκευασία και Σήμανση Επικίνδυνων Ουσιών και Παρασκευασμάτων) Κανονισμών</w:t>
      </w:r>
      <w:r w:rsidR="005C6460" w:rsidRPr="005C6460">
        <w:rPr>
          <w:rFonts w:ascii="Arial" w:hAnsi="Arial" w:cs="Arial"/>
          <w:sz w:val="24"/>
          <w:szCs w:val="24"/>
          <w:lang w:val="el-GR"/>
        </w:rPr>
        <w:t xml:space="preserve"> </w:t>
      </w:r>
      <w:r w:rsidR="005C6460" w:rsidRPr="005C6460">
        <w:rPr>
          <w:rFonts w:ascii="Arial" w:hAnsi="Arial" w:cs="Arial"/>
          <w:sz w:val="24"/>
          <w:szCs w:val="24"/>
          <w:highlight w:val="lightGray"/>
          <w:lang w:val="el-GR"/>
        </w:rPr>
        <w:t xml:space="preserve">πρόνοιες του Ευρωπαϊκού Κανονισμού 1272/2008 (Κανονισμός </w:t>
      </w:r>
      <w:r w:rsidR="005C6460" w:rsidRPr="005C6460">
        <w:rPr>
          <w:rFonts w:ascii="Arial" w:hAnsi="Arial" w:cs="Arial"/>
          <w:sz w:val="24"/>
          <w:szCs w:val="24"/>
          <w:highlight w:val="lightGray"/>
        </w:rPr>
        <w:t>CLP</w:t>
      </w:r>
      <w:r w:rsidR="005C6460" w:rsidRPr="005C6460">
        <w:rPr>
          <w:rFonts w:ascii="Arial" w:hAnsi="Arial" w:cs="Arial"/>
          <w:sz w:val="24"/>
          <w:szCs w:val="24"/>
          <w:highlight w:val="lightGray"/>
          <w:lang w:val="el-GR"/>
        </w:rPr>
        <w:t>) για την ταξινόμηση, την επισήμανση και τη συσκευασία των ουσιών και των μειγμάτων και οποιωνδήποτε Κανονισμών τον τροποποιούν ή αντικαθιστούν.</w:t>
      </w:r>
    </w:p>
    <w:p w:rsidR="00D00387" w:rsidRPr="005C6460" w:rsidRDefault="00D00387" w:rsidP="00D00387">
      <w:pPr>
        <w:tabs>
          <w:tab w:val="left" w:pos="840"/>
        </w:tabs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10.</w:t>
      </w:r>
      <w:r w:rsidRPr="005C6460">
        <w:rPr>
          <w:rFonts w:ascii="Arial" w:hAnsi="Arial" w:cs="Arial"/>
          <w:sz w:val="24"/>
          <w:szCs w:val="24"/>
          <w:lang w:val="el-GR"/>
        </w:rPr>
        <w:tab/>
      </w:r>
      <w:r w:rsidRPr="005C6460">
        <w:rPr>
          <w:rFonts w:ascii="Arial" w:hAnsi="Arial" w:cs="Arial"/>
          <w:b/>
          <w:sz w:val="24"/>
          <w:szCs w:val="24"/>
          <w:lang w:val="el-GR"/>
        </w:rPr>
        <w:t xml:space="preserve">Διαρροή ουσιών </w:t>
      </w:r>
    </w:p>
    <w:p w:rsidR="00D00387" w:rsidRPr="005C6460" w:rsidRDefault="00D00387" w:rsidP="00D00387">
      <w:pPr>
        <w:tabs>
          <w:tab w:val="left" w:pos="840"/>
        </w:tabs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Η ξαφνική ή ανεξέλεγκτη διαρροή ή διαφυγή οποιασδήποτε ουσίας, εκτός των αναφερόμενων στην παράγραφο 9 πιο πάνω, σε ποσότητα ικανή να προκαλέσει θάνατο, σοβαρό τραυματισμό ή οποιαδήποτε βλάβη στην υγεία οποιουδήποτε προσώπου.</w:t>
      </w:r>
    </w:p>
    <w:p w:rsidR="00D00387" w:rsidRPr="005C6460" w:rsidRDefault="00D00387" w:rsidP="00D00387">
      <w:pPr>
        <w:tabs>
          <w:tab w:val="left" w:pos="840"/>
        </w:tabs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11.</w:t>
      </w:r>
      <w:r w:rsidRPr="005C6460">
        <w:rPr>
          <w:rFonts w:ascii="Arial" w:hAnsi="Arial" w:cs="Arial"/>
          <w:sz w:val="24"/>
          <w:szCs w:val="24"/>
          <w:lang w:val="el-GR"/>
        </w:rPr>
        <w:tab/>
      </w:r>
      <w:r w:rsidRPr="005C6460">
        <w:rPr>
          <w:rFonts w:ascii="Arial" w:hAnsi="Arial" w:cs="Arial"/>
          <w:b/>
          <w:sz w:val="24"/>
          <w:szCs w:val="24"/>
          <w:lang w:val="el-GR"/>
        </w:rPr>
        <w:t>Απελευθέρωση βιολογικών παραγόντων</w:t>
      </w:r>
    </w:p>
    <w:p w:rsidR="00D00387" w:rsidRPr="005C6460" w:rsidRDefault="00D00387" w:rsidP="00D00387">
      <w:pPr>
        <w:tabs>
          <w:tab w:val="left" w:pos="840"/>
        </w:tabs>
        <w:jc w:val="both"/>
        <w:rPr>
          <w:rFonts w:ascii="Arial" w:hAnsi="Arial" w:cs="Arial"/>
          <w:sz w:val="24"/>
          <w:szCs w:val="24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Η ξαφνική ή ανεξέλεγκτη διαρροή ή διαφυγή οποιουδήποτε βιολογικού παράγοντα που θα μπορούσε να προκαλέσει σοβαρή μόλυνση ή ασθένεια σε οποιοδήποτε πρόσωπο.</w:t>
      </w:r>
    </w:p>
    <w:p w:rsidR="00933598" w:rsidRPr="005C6460" w:rsidRDefault="00933598" w:rsidP="00632DDB">
      <w:pPr>
        <w:jc w:val="both"/>
        <w:rPr>
          <w:rFonts w:ascii="Arial" w:hAnsi="Arial" w:cs="Arial"/>
          <w:sz w:val="24"/>
          <w:szCs w:val="24"/>
          <w:highlight w:val="lightGray"/>
          <w:lang w:val="el-GR"/>
        </w:rPr>
      </w:pPr>
      <w:r w:rsidRPr="005C6460">
        <w:rPr>
          <w:rFonts w:ascii="Arial" w:hAnsi="Arial" w:cs="Arial"/>
          <w:sz w:val="24"/>
          <w:szCs w:val="24"/>
          <w:lang w:val="el-GR"/>
        </w:rPr>
        <w:t>12.</w:t>
      </w:r>
      <w:r w:rsidRPr="005C6460">
        <w:rPr>
          <w:rFonts w:ascii="Arial" w:hAnsi="Arial" w:cs="Arial"/>
          <w:sz w:val="24"/>
          <w:szCs w:val="24"/>
          <w:lang w:val="el-GR"/>
        </w:rPr>
        <w:tab/>
      </w:r>
      <w:r w:rsidRPr="005C6460">
        <w:rPr>
          <w:rFonts w:ascii="Arial" w:hAnsi="Arial" w:cs="Arial"/>
          <w:b/>
          <w:sz w:val="24"/>
          <w:szCs w:val="24"/>
          <w:highlight w:val="lightGray"/>
          <w:lang w:val="el-GR"/>
        </w:rPr>
        <w:t>Άλλα Συμβάντα</w:t>
      </w: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 xml:space="preserve"> </w:t>
      </w:r>
    </w:p>
    <w:p w:rsidR="00B6159E" w:rsidRPr="005C6460" w:rsidRDefault="00933598" w:rsidP="00952632">
      <w:pPr>
        <w:jc w:val="both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5C6460">
        <w:rPr>
          <w:rFonts w:ascii="Arial" w:hAnsi="Arial" w:cs="Arial"/>
          <w:sz w:val="24"/>
          <w:szCs w:val="24"/>
          <w:highlight w:val="lightGray"/>
          <w:lang w:val="el-GR"/>
        </w:rPr>
        <w:t>Οποιαδήποτε άλλα συμβάντα πρέπει να γνωστοποιούνται σύμφωνα με Κανονισμούς που εκδίδονται με βάση το Νόμο.».</w:t>
      </w:r>
    </w:p>
    <w:p w:rsidR="00B6159E" w:rsidRPr="005C6460" w:rsidRDefault="00B6159E" w:rsidP="001308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B6159E" w:rsidRPr="005C6460" w:rsidRDefault="00B6159E" w:rsidP="001308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B6159E" w:rsidRPr="005C6460" w:rsidRDefault="00B6159E" w:rsidP="001308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B6159E" w:rsidRPr="005C6460" w:rsidRDefault="00B6159E" w:rsidP="001308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B6159E" w:rsidRPr="005C6460" w:rsidRDefault="00B6159E" w:rsidP="001308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B6159E" w:rsidRPr="005C6460" w:rsidRDefault="00B6159E" w:rsidP="001308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B6159E" w:rsidRPr="005C6460" w:rsidRDefault="00B6159E" w:rsidP="001308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1C7A01" w:rsidRPr="005C6460" w:rsidRDefault="001C7A01" w:rsidP="0013082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FA04B7" w:rsidRPr="005C6460" w:rsidRDefault="00FA04B7" w:rsidP="00951F6E">
      <w:pPr>
        <w:spacing w:line="360" w:lineRule="auto"/>
        <w:jc w:val="center"/>
        <w:rPr>
          <w:rFonts w:ascii="Arial" w:hAnsi="Arial" w:cs="Arial"/>
          <w:sz w:val="24"/>
          <w:szCs w:val="24"/>
          <w:lang w:val="el-GR"/>
        </w:rPr>
      </w:pPr>
    </w:p>
    <w:sectPr w:rsidR="00FA04B7" w:rsidRPr="005C6460" w:rsidSect="001C6F13">
      <w:footerReference w:type="default" r:id="rId8"/>
      <w:pgSz w:w="11907" w:h="16840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DD0" w:rsidRDefault="004D5DD0" w:rsidP="0013082E">
      <w:pPr>
        <w:spacing w:after="0" w:line="240" w:lineRule="auto"/>
      </w:pPr>
      <w:r>
        <w:separator/>
      </w:r>
    </w:p>
  </w:endnote>
  <w:endnote w:type="continuationSeparator" w:id="0">
    <w:p w:rsidR="004D5DD0" w:rsidRDefault="004D5DD0" w:rsidP="0013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D0" w:rsidRPr="00431684" w:rsidRDefault="004377F7" w:rsidP="00431684">
    <w:pPr>
      <w:pStyle w:val="Footer"/>
      <w:jc w:val="right"/>
      <w:rPr>
        <w:rFonts w:ascii="Arial" w:hAnsi="Arial" w:cs="Arial"/>
        <w:sz w:val="18"/>
        <w:szCs w:val="18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EE5B32" w:rsidRPr="00EE5B32">
      <w:rPr>
        <w:rFonts w:ascii="Arial" w:hAnsi="Arial" w:cs="Arial"/>
        <w:noProof/>
        <w:sz w:val="18"/>
        <w:szCs w:val="18"/>
      </w:rPr>
      <w:t>Z:\TAY\ΚΔΟΘ\DD\11DEMOS MASTER\YPIRESIAKA\LEGISLATION\ACCIDENTS</w:t>
    </w:r>
    <w:r w:rsidR="00EE5B32">
      <w:rPr>
        <w:noProof/>
      </w:rPr>
      <w:t>\TROPOPOIISI - 2014\ΕΝΤΥΠΑ ΜΕΤΑ ΤΗΝ ΕΦΑΡΜΟΓΗ\20170302-DD-tropopoiiseis - Par.2.docx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DD0" w:rsidRDefault="004D5DD0" w:rsidP="0013082E">
      <w:pPr>
        <w:spacing w:after="0" w:line="240" w:lineRule="auto"/>
      </w:pPr>
      <w:r>
        <w:separator/>
      </w:r>
    </w:p>
  </w:footnote>
  <w:footnote w:type="continuationSeparator" w:id="0">
    <w:p w:rsidR="004D5DD0" w:rsidRDefault="004D5DD0" w:rsidP="0013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05F"/>
    <w:multiLevelType w:val="hybridMultilevel"/>
    <w:tmpl w:val="C486E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E98"/>
    <w:multiLevelType w:val="hybridMultilevel"/>
    <w:tmpl w:val="1228F858"/>
    <w:lvl w:ilvl="0" w:tplc="F5D21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6C0"/>
    <w:multiLevelType w:val="hybridMultilevel"/>
    <w:tmpl w:val="ED36C926"/>
    <w:lvl w:ilvl="0" w:tplc="45BA3DB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7F4B2F"/>
    <w:multiLevelType w:val="hybridMultilevel"/>
    <w:tmpl w:val="B7108F6C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F018D"/>
    <w:multiLevelType w:val="hybridMultilevel"/>
    <w:tmpl w:val="D7FED248"/>
    <w:lvl w:ilvl="0" w:tplc="C362FF30">
      <w:start w:val="2"/>
      <w:numFmt w:val="low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D1A8B"/>
    <w:multiLevelType w:val="hybridMultilevel"/>
    <w:tmpl w:val="DB82A448"/>
    <w:lvl w:ilvl="0" w:tplc="4D6A2CA4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DB0521"/>
    <w:multiLevelType w:val="hybridMultilevel"/>
    <w:tmpl w:val="A460A4EE"/>
    <w:lvl w:ilvl="0" w:tplc="7892E9E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345DE0"/>
    <w:multiLevelType w:val="hybridMultilevel"/>
    <w:tmpl w:val="C540E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D0E7E"/>
    <w:multiLevelType w:val="hybridMultilevel"/>
    <w:tmpl w:val="C64CDDD4"/>
    <w:lvl w:ilvl="0" w:tplc="CE226FDC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0B09CB"/>
    <w:multiLevelType w:val="hybridMultilevel"/>
    <w:tmpl w:val="214E36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45E2A"/>
    <w:multiLevelType w:val="hybridMultilevel"/>
    <w:tmpl w:val="7D8A8116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6B6E"/>
    <w:multiLevelType w:val="hybridMultilevel"/>
    <w:tmpl w:val="D1E6DD46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2" w15:restartNumberingAfterBreak="0">
    <w:nsid w:val="47D62F8C"/>
    <w:multiLevelType w:val="hybridMultilevel"/>
    <w:tmpl w:val="6038B646"/>
    <w:lvl w:ilvl="0" w:tplc="FFFFFFFF">
      <w:start w:val="1"/>
      <w:numFmt w:val="lowerRoman"/>
      <w:lvlText w:val="(%1)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 w15:restartNumberingAfterBreak="0">
    <w:nsid w:val="599E425A"/>
    <w:multiLevelType w:val="hybridMultilevel"/>
    <w:tmpl w:val="C64CDDD4"/>
    <w:lvl w:ilvl="0" w:tplc="CE226FDC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559D8"/>
    <w:multiLevelType w:val="hybridMultilevel"/>
    <w:tmpl w:val="52A01CB0"/>
    <w:lvl w:ilvl="0" w:tplc="94E6E4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F64F5"/>
    <w:multiLevelType w:val="hybridMultilevel"/>
    <w:tmpl w:val="B43AC626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359B6"/>
    <w:multiLevelType w:val="hybridMultilevel"/>
    <w:tmpl w:val="D8E69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F46DC"/>
    <w:multiLevelType w:val="hybridMultilevel"/>
    <w:tmpl w:val="618C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6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6"/>
  </w:num>
  <w:num w:numId="10">
    <w:abstractNumId w:val="15"/>
  </w:num>
  <w:num w:numId="11">
    <w:abstractNumId w:val="11"/>
  </w:num>
  <w:num w:numId="12">
    <w:abstractNumId w:val="10"/>
  </w:num>
  <w:num w:numId="13">
    <w:abstractNumId w:val="3"/>
  </w:num>
  <w:num w:numId="14">
    <w:abstractNumId w:val="12"/>
  </w:num>
  <w:num w:numId="15">
    <w:abstractNumId w:val="1"/>
  </w:num>
  <w:num w:numId="16">
    <w:abstractNumId w:val="9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FD3"/>
    <w:rsid w:val="000304FA"/>
    <w:rsid w:val="000408AC"/>
    <w:rsid w:val="00050EAA"/>
    <w:rsid w:val="00073479"/>
    <w:rsid w:val="0008238E"/>
    <w:rsid w:val="00085ED4"/>
    <w:rsid w:val="00097C78"/>
    <w:rsid w:val="000A1627"/>
    <w:rsid w:val="000A567D"/>
    <w:rsid w:val="000A6A06"/>
    <w:rsid w:val="000B251E"/>
    <w:rsid w:val="000C1D2C"/>
    <w:rsid w:val="000F7620"/>
    <w:rsid w:val="0013082E"/>
    <w:rsid w:val="001A005D"/>
    <w:rsid w:val="001C6F13"/>
    <w:rsid w:val="001C7A01"/>
    <w:rsid w:val="00220268"/>
    <w:rsid w:val="00255BEE"/>
    <w:rsid w:val="00280F47"/>
    <w:rsid w:val="00293D8C"/>
    <w:rsid w:val="002E33F8"/>
    <w:rsid w:val="00306D7F"/>
    <w:rsid w:val="003348F8"/>
    <w:rsid w:val="00343E05"/>
    <w:rsid w:val="00350F98"/>
    <w:rsid w:val="003637E1"/>
    <w:rsid w:val="00385D98"/>
    <w:rsid w:val="003946BE"/>
    <w:rsid w:val="003F3327"/>
    <w:rsid w:val="003F773B"/>
    <w:rsid w:val="0042713D"/>
    <w:rsid w:val="00431684"/>
    <w:rsid w:val="00432FD3"/>
    <w:rsid w:val="00434621"/>
    <w:rsid w:val="004353E0"/>
    <w:rsid w:val="00436F5D"/>
    <w:rsid w:val="004377F7"/>
    <w:rsid w:val="00445CF2"/>
    <w:rsid w:val="0046161E"/>
    <w:rsid w:val="004713D2"/>
    <w:rsid w:val="004A1C3A"/>
    <w:rsid w:val="004A5936"/>
    <w:rsid w:val="004D035A"/>
    <w:rsid w:val="004D5DD0"/>
    <w:rsid w:val="00503987"/>
    <w:rsid w:val="005354FE"/>
    <w:rsid w:val="00536D89"/>
    <w:rsid w:val="00542188"/>
    <w:rsid w:val="0054349B"/>
    <w:rsid w:val="00567340"/>
    <w:rsid w:val="005737E7"/>
    <w:rsid w:val="005C6460"/>
    <w:rsid w:val="005E054B"/>
    <w:rsid w:val="005F63CA"/>
    <w:rsid w:val="006007A6"/>
    <w:rsid w:val="006318B8"/>
    <w:rsid w:val="00632DDB"/>
    <w:rsid w:val="00634FE1"/>
    <w:rsid w:val="0064754E"/>
    <w:rsid w:val="0069519B"/>
    <w:rsid w:val="006B179D"/>
    <w:rsid w:val="006D6FE7"/>
    <w:rsid w:val="006D72D7"/>
    <w:rsid w:val="006F44D3"/>
    <w:rsid w:val="00706EFC"/>
    <w:rsid w:val="007274D8"/>
    <w:rsid w:val="00754525"/>
    <w:rsid w:val="007721EF"/>
    <w:rsid w:val="007B16BC"/>
    <w:rsid w:val="007D7371"/>
    <w:rsid w:val="00803BDC"/>
    <w:rsid w:val="0083059F"/>
    <w:rsid w:val="008344D9"/>
    <w:rsid w:val="00845BF3"/>
    <w:rsid w:val="00850530"/>
    <w:rsid w:val="00911C90"/>
    <w:rsid w:val="00933598"/>
    <w:rsid w:val="009340BB"/>
    <w:rsid w:val="00941D33"/>
    <w:rsid w:val="00951F6E"/>
    <w:rsid w:val="00952632"/>
    <w:rsid w:val="009662D0"/>
    <w:rsid w:val="00985908"/>
    <w:rsid w:val="00985979"/>
    <w:rsid w:val="009A19CE"/>
    <w:rsid w:val="009A2D67"/>
    <w:rsid w:val="009C379C"/>
    <w:rsid w:val="009E2E90"/>
    <w:rsid w:val="00A239FD"/>
    <w:rsid w:val="00A47228"/>
    <w:rsid w:val="00A50BAA"/>
    <w:rsid w:val="00A61255"/>
    <w:rsid w:val="00A831C3"/>
    <w:rsid w:val="00AB0CFF"/>
    <w:rsid w:val="00AC14B7"/>
    <w:rsid w:val="00AC45BB"/>
    <w:rsid w:val="00AC5042"/>
    <w:rsid w:val="00AE1125"/>
    <w:rsid w:val="00B00FF5"/>
    <w:rsid w:val="00B03334"/>
    <w:rsid w:val="00B303A6"/>
    <w:rsid w:val="00B6159E"/>
    <w:rsid w:val="00B77C33"/>
    <w:rsid w:val="00B80DB9"/>
    <w:rsid w:val="00B91B97"/>
    <w:rsid w:val="00BB766E"/>
    <w:rsid w:val="00BC0E5D"/>
    <w:rsid w:val="00BC4706"/>
    <w:rsid w:val="00BC5409"/>
    <w:rsid w:val="00BF7462"/>
    <w:rsid w:val="00C33F94"/>
    <w:rsid w:val="00C42767"/>
    <w:rsid w:val="00C44B2A"/>
    <w:rsid w:val="00C44BC8"/>
    <w:rsid w:val="00C5369E"/>
    <w:rsid w:val="00C92899"/>
    <w:rsid w:val="00C94F07"/>
    <w:rsid w:val="00C95848"/>
    <w:rsid w:val="00CA098F"/>
    <w:rsid w:val="00CB4ADC"/>
    <w:rsid w:val="00CC1C4D"/>
    <w:rsid w:val="00D00387"/>
    <w:rsid w:val="00D11802"/>
    <w:rsid w:val="00D6452B"/>
    <w:rsid w:val="00D66490"/>
    <w:rsid w:val="00D73D36"/>
    <w:rsid w:val="00DC19DD"/>
    <w:rsid w:val="00DE145D"/>
    <w:rsid w:val="00DE451A"/>
    <w:rsid w:val="00DE7AB8"/>
    <w:rsid w:val="00E24D1C"/>
    <w:rsid w:val="00E44792"/>
    <w:rsid w:val="00E45024"/>
    <w:rsid w:val="00E72EFF"/>
    <w:rsid w:val="00EA01CB"/>
    <w:rsid w:val="00EA27B2"/>
    <w:rsid w:val="00EA4705"/>
    <w:rsid w:val="00EB387D"/>
    <w:rsid w:val="00EE5B32"/>
    <w:rsid w:val="00F32F7D"/>
    <w:rsid w:val="00F6314B"/>
    <w:rsid w:val="00F73012"/>
    <w:rsid w:val="00F91A57"/>
    <w:rsid w:val="00F9431E"/>
    <w:rsid w:val="00FA04B7"/>
    <w:rsid w:val="00FA1A98"/>
    <w:rsid w:val="00FB4617"/>
    <w:rsid w:val="00FC23C1"/>
    <w:rsid w:val="00FD1CD4"/>
    <w:rsid w:val="00FD472A"/>
    <w:rsid w:val="00FF170C"/>
    <w:rsid w:val="00FF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66E"/>
  <w15:docId w15:val="{70D3945A-0F4F-4088-900B-B8704B26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8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82E"/>
  </w:style>
  <w:style w:type="paragraph" w:styleId="Footer">
    <w:name w:val="footer"/>
    <w:basedOn w:val="Normal"/>
    <w:link w:val="FooterChar"/>
    <w:uiPriority w:val="99"/>
    <w:unhideWhenUsed/>
    <w:rsid w:val="001308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82E"/>
  </w:style>
  <w:style w:type="paragraph" w:styleId="ListParagraph">
    <w:name w:val="List Paragraph"/>
    <w:basedOn w:val="Normal"/>
    <w:uiPriority w:val="34"/>
    <w:qFormat/>
    <w:rsid w:val="00845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CED9-DB9F-4492-B52F-B454BA99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1482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Demosthenous  Demos</cp:lastModifiedBy>
  <cp:revision>22</cp:revision>
  <cp:lastPrinted>2017-03-06T09:25:00Z</cp:lastPrinted>
  <dcterms:created xsi:type="dcterms:W3CDTF">2017-03-02T06:58:00Z</dcterms:created>
  <dcterms:modified xsi:type="dcterms:W3CDTF">2017-09-19T07:57:00Z</dcterms:modified>
</cp:coreProperties>
</file>